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5.png" ContentType="image/png"/>
  <Override PartName="/word/media/rId33.png" ContentType="image/png"/>
  <Override PartName="/word/media/rId44.png" ContentType="image/png"/>
  <Override PartName="/word/media/rId51.png" ContentType="image/png"/>
  <Override PartName="/word/media/rId6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Mass Balance: The Language of Industrial Processes</w:t>
      </w:r>
    </w:p>
    <w:p>
      <w:pPr>
        <w:pStyle w:val="Subtitle"/>
      </w:pPr>
      <w:r>
        <w:t xml:space="preserve">From physical conservation to closure, uncertainty, and traceability</w:t>
      </w:r>
    </w:p>
    <w:p>
      <w:pPr>
        <w:pStyle w:val="Author"/>
      </w:pPr>
      <w:r>
        <w:t xml:space="preserve">Nebula Foundation®</w:t>
      </w:r>
    </w:p>
    <w:p>
      <w:pPr>
        <w:pStyle w:val="Date"/>
      </w:pPr>
      <w:r>
        <w:t xml:space="preserve">2026-09-03</w:t>
      </w:r>
    </w:p>
    <w:p>
      <w:pPr>
        <w:pStyle w:val="AbstractTitle"/>
      </w:pPr>
      <w:r>
        <w:t xml:space="preserve">Abstract</w:t>
      </w:r>
    </w:p>
    <w:p>
      <w:pPr>
        <w:pStyle w:val="Abstract"/>
      </w:pPr>
      <w:r>
        <w:t xml:space="preserve">Mass balance transforms a physical process into a verifiable accounting structure. This major revision develops the principle from boundary selection to measurement diagnosis: it distinguishes total mass from components, derives steady-state and transient forms, explains accumulation, calculation basis, and degrees of freedom, and demonstrates why nonzero closure does not automatically prove a real loss. Three reproducible pedagogical cases connect theory with practice: a two-product separator, a perfectly mixed tank with component accumulation, and weighted reconciliation of flow measurements with different uncertainties. Figures, datasets, and results are generated by versioned code and do not represent plant data. The article concludes by showing how physical balance becomes the backbone of digital traceability: every verifiable transformation requires stream identity, units, time, composition, provenance, and explicit conservation rules.</w:t>
      </w:r>
    </w:p>
    <w:p>
      <w:pPr>
        <w:pStyle w:val="FirstParagraph"/>
      </w:pPr>
      <w:r>
        <w:rPr>
          <w:b/>
          <w:bCs/>
        </w:rPr>
        <w:t xml:space="preserve">Published edition v2.0 · G8 approved</w:t>
      </w:r>
    </w:p>
    <w:p>
      <w:pPr>
        <w:pStyle w:val="BodyText"/>
      </w:pPr>
      <w:hyperlink r:id="rId9">
        <w:r>
          <w:rPr>
            <w:rStyle w:val="Hyperlink"/>
          </w:rPr>
          <w:t xml:space="preserve">Español</w:t>
        </w:r>
      </w:hyperlink>
      <w:r>
        <w:t xml:space="preserve"> </w:t>
      </w:r>
      <w:r>
        <w:t xml:space="preserve">·</w:t>
      </w:r>
      <w:r>
        <w:t xml:space="preserve"> </w:t>
      </w:r>
      <w:hyperlink r:id="rId10">
        <w:r>
          <w:rPr>
            <w:rStyle w:val="Hyperlink"/>
          </w:rPr>
          <w:t xml:space="preserve">PDF</w:t>
        </w:r>
      </w:hyperlink>
      <w:r>
        <w:t xml:space="preserve"> </w:t>
      </w:r>
      <w:r>
        <w:t xml:space="preserve">·</w:t>
      </w:r>
      <w:r>
        <w:t xml:space="preserve"> </w:t>
      </w:r>
      <w:hyperlink r:id="rId11">
        <w:r>
          <w:rPr>
            <w:rStyle w:val="Hyperlink"/>
          </w:rPr>
          <w:t xml:space="preserve">DOCX</w:t>
        </w:r>
      </w:hyperlink>
      <w:r>
        <w:t xml:space="preserve"> </w:t>
      </w:r>
      <w:r>
        <w:t xml:space="preserve">·</w:t>
      </w:r>
      <w:r>
        <w:t xml:space="preserve"> </w:t>
      </w:r>
      <w:hyperlink r:id="rId12">
        <w:r>
          <w:rPr>
            <w:rStyle w:val="Hyperlink"/>
          </w:rPr>
          <w:t xml:space="preserve">ePub</w:t>
        </w:r>
      </w:hyperlink>
      <w:r>
        <w:t xml:space="preserve"> </w:t>
      </w:r>
      <w:r>
        <w:t xml:space="preserve">·</w:t>
      </w:r>
      <w:r>
        <w:t xml:space="preserve"> </w:t>
      </w:r>
      <w:hyperlink r:id="rId13">
        <w:r>
          <w:rPr>
            <w:rStyle w:val="Hyperlink"/>
          </w:rPr>
          <w:t xml:space="preserve">Scientific source</w:t>
        </w:r>
      </w:hyperlink>
    </w:p>
    <w:bookmarkStart w:id="14" w:name="why-this-matters"/>
    <w:p>
      <w:pPr>
        <w:pStyle w:val="Heading1"/>
      </w:pPr>
      <w:r>
        <w:t xml:space="preserve">Why this matters</w:t>
      </w:r>
    </w:p>
    <w:p>
      <w:pPr>
        <w:pStyle w:val="FirstParagraph"/>
      </w:pPr>
      <w:r>
        <w:t xml:space="preserve">Before optimizing, automating, or digitizing a process, one elementary question must be answered:</w:t>
      </w:r>
      <w:r>
        <w:t xml:space="preserve"> </w:t>
      </w:r>
      <w:r>
        <w:rPr>
          <w:b/>
          <w:bCs/>
        </w:rPr>
        <w:t xml:space="preserve">where is the matter?</w:t>
      </w:r>
      <w:r>
        <w:t xml:space="preserve"> </w:t>
      </w:r>
      <w:r>
        <w:t xml:space="preserve">A facility may have modern sensors, historians, control algorithms, and lot-level traceability. If its streams cannot be related by conservation, the digital representation does not coherently describe the physical process.</w:t>
      </w:r>
    </w:p>
    <w:p>
      <w:pPr>
        <w:pStyle w:val="BodyText"/>
      </w:pPr>
      <w:r>
        <w:t xml:space="preserve">Mass balance is the language that converts equipment, inventories, streams, and transformations into technical accounts. Just as financial accounting must explain where money came from and where it went, process accounting must explain where matter came from, where it remained, and where it went. The idea is independent of scale: it applies to a cup, a fermenter, a tank, a dryer, a refinery, or a complete network of operations</w:t>
      </w:r>
      <w:r>
        <w:t xml:space="preserve"> </w:t>
      </w:r>
      <w:r>
        <w:t xml:space="preserve">(Felder et al. 2020; Reklaitis 1983)</w:t>
      </w:r>
      <w:r>
        <w:t xml:space="preserve">.</w:t>
      </w:r>
    </w:p>
    <w:p>
      <w:pPr>
        <w:pStyle w:val="BodyText"/>
      </w:pPr>
      <w:r>
        <w:t xml:space="preserve">The method is more powerful than a calculation of one unknown. A well-posed balance can:</w:t>
      </w:r>
    </w:p>
    <w:p>
      <w:pPr>
        <w:pStyle w:val="Compact"/>
        <w:numPr>
          <w:ilvl w:val="0"/>
          <w:numId w:val="1001"/>
        </w:numPr>
      </w:pPr>
      <w:r>
        <w:t xml:space="preserve">test whether a set of measurements can physically coexist;</w:t>
      </w:r>
    </w:p>
    <w:p>
      <w:pPr>
        <w:pStyle w:val="Compact"/>
        <w:numPr>
          <w:ilvl w:val="0"/>
          <w:numId w:val="1001"/>
        </w:numPr>
      </w:pPr>
      <w:r>
        <w:t xml:space="preserve">calculate unmeasured variables when enough independent relations exist;</w:t>
      </w:r>
    </w:p>
    <w:p>
      <w:pPr>
        <w:pStyle w:val="Compact"/>
        <w:numPr>
          <w:ilvl w:val="0"/>
          <w:numId w:val="1001"/>
        </w:numPr>
      </w:pPr>
      <w:r>
        <w:t xml:space="preserve">distinguish real accumulation from instrument error or time misalignment;</w:t>
      </w:r>
    </w:p>
    <w:p>
      <w:pPr>
        <w:pStyle w:val="Compact"/>
        <w:numPr>
          <w:ilvl w:val="0"/>
          <w:numId w:val="1001"/>
        </w:numPr>
      </w:pPr>
      <w:r>
        <w:t xml:space="preserve">identify boundaries that may hide an omitted stream;</w:t>
      </w:r>
    </w:p>
    <w:p>
      <w:pPr>
        <w:pStyle w:val="Compact"/>
        <w:numPr>
          <w:ilvl w:val="0"/>
          <w:numId w:val="1001"/>
        </w:numPr>
      </w:pPr>
      <w:r>
        <w:t xml:space="preserve">evaluate yield, recovery, and loss on a declared basis;</w:t>
      </w:r>
    </w:p>
    <w:p>
      <w:pPr>
        <w:pStyle w:val="Compact"/>
        <w:numPr>
          <w:ilvl w:val="0"/>
          <w:numId w:val="1001"/>
        </w:numPr>
      </w:pPr>
      <w:r>
        <w:t xml:space="preserve">reconcile redundant measurements without treating them as exact truths;</w:t>
      </w:r>
    </w:p>
    <w:p>
      <w:pPr>
        <w:pStyle w:val="Compact"/>
        <w:numPr>
          <w:ilvl w:val="0"/>
          <w:numId w:val="1001"/>
        </w:numPr>
      </w:pPr>
      <w:r>
        <w:t xml:space="preserve">structure digital traceability that preserves quantities, identities, and transformations.</w:t>
      </w:r>
    </w:p>
    <w:p>
      <w:pPr>
        <w:pStyle w:val="FirstParagraph"/>
      </w:pPr>
      <w:r>
        <w:t xml:space="preserve">This v2.0 edition expands the historical v1.0 publication. Version 1.0 remains archived exactly as published. The present edition is single-language, uses US Letter, and provides greater depth on accumulation, sensitivity, uncertainty, and reconciliation without presenting pedagogical examples as experimental evidence.</w:t>
      </w:r>
    </w:p>
    <w:bookmarkEnd w:id="14"/>
    <w:bookmarkStart w:id="24" w:name="the-law-behind-the-accounts"/>
    <w:p>
      <w:pPr>
        <w:pStyle w:val="Heading1"/>
      </w:pPr>
      <w:r>
        <w:t xml:space="preserve">The law behind the accounts</w:t>
      </w:r>
    </w:p>
    <w:bookmarkStart w:id="19" w:name="system-control-volume-and-boundary"/>
    <w:p>
      <w:pPr>
        <w:pStyle w:val="Heading2"/>
      </w:pPr>
      <w:r>
        <w:t xml:space="preserve">System, control volume, and boundary</w:t>
      </w:r>
    </w:p>
    <w:p>
      <w:pPr>
        <w:pStyle w:val="FirstParagraph"/>
      </w:pPr>
      <w:r>
        <w:t xml:space="preserve">A</w:t>
      </w:r>
      <w:r>
        <w:t xml:space="preserve"> </w:t>
      </w:r>
      <w:r>
        <w:rPr>
          <w:b/>
          <w:bCs/>
        </w:rPr>
        <w:t xml:space="preserve">system</w:t>
      </w:r>
      <w:r>
        <w:t xml:space="preserve"> </w:t>
      </w:r>
      <w:r>
        <w:t xml:space="preserve">is the part of reality selected for analysis. It may follow a fixed amount of matter—a closed system—or occupy a region through which streams pass—a control volume. Industrial analysis frequently uses control volumes because pumps, mixers, separators, reactors, and packaging lines receive and discharge matter continuously. The control-volume approach connects internal inventory to flows crossing the boundary</w:t>
      </w:r>
      <w:r>
        <w:t xml:space="preserve"> </w:t>
      </w:r>
      <w:r>
        <w:t xml:space="preserve">(Massachusetts Institute of Technology, n.d.)</w:t>
      </w:r>
      <w:r>
        <w:t xml:space="preserve">.</w:t>
      </w:r>
    </w:p>
    <w:tbl>
      <w:tblPr>
        <w:tblStyle w:val="Table"/>
        <w:tblW w:type="pct" w:w="5000"/>
        <w:tblLayout w:type="fixed"/>
        <w:tblLook w:firstRow="0" w:lastRow="0" w:firstColumn="0" w:lastColumn="0" w:noHBand="0" w:noVBand="0" w:val="0000"/>
      </w:tblPr>
      <w:tblGrid>
        <w:gridCol w:w="7920"/>
      </w:tblGrid>
      <w:tr>
        <w:tc>
          <w:tcPr/>
          <w:bookmarkStart w:id="18" w:name="fig-control-volume"/>
          <w:p>
            <w:pPr>
              <w:pStyle w:val="Compact"/>
              <w:jc w:val="center"/>
            </w:pPr>
            <w:r>
              <w:drawing>
                <wp:inline>
                  <wp:extent cx="5067300" cy="2750281"/>
                  <wp:effectExtent b="0" l="0" r="0" t="0"/>
                  <wp:docPr descr="" title="" id="16" name="Picture"/>
                  <a:graphic>
                    <a:graphicData uri="http://schemas.openxmlformats.org/drawingml/2006/picture">
                      <pic:pic>
                        <pic:nvPicPr>
                          <pic:cNvPr descr="../../../assets/NS-SBTP-PSF-001-v2.0/fig01_control_volume.png" id="17" name="Picture"/>
                          <pic:cNvPicPr>
                            <a:picLocks noChangeArrowheads="1" noChangeAspect="1"/>
                          </pic:cNvPicPr>
                        </pic:nvPicPr>
                        <pic:blipFill>
                          <a:blip r:embed="rId15"/>
                          <a:stretch>
                            <a:fillRect/>
                          </a:stretch>
                        </pic:blipFill>
                        <pic:spPr bwMode="auto">
                          <a:xfrm>
                            <a:off x="0" y="0"/>
                            <a:ext cx="5067300" cy="27502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Anatomy of a control volume. The boundary separates internal inventory from inputs and outputs; its selection determines what the balance can diagnose.</w:t>
            </w:r>
          </w:p>
          <w:bookmarkEnd w:id="18"/>
        </w:tc>
      </w:tr>
    </w:tbl>
    <w:p>
      <w:pPr>
        <w:pStyle w:val="BodyText"/>
      </w:pPr>
      <w:r>
        <w:t xml:space="preserve">In</w:t>
      </w:r>
      <w:r>
        <w:t xml:space="preserve"> </w:t>
      </w:r>
      <w:hyperlink w:anchor="fig-control-volume">
        <w:r>
          <w:rPr>
            <w:rStyle w:val="Hyperlink"/>
          </w:rPr>
          <w:t xml:space="preserve">Figure 1</w:t>
        </w:r>
      </w:hyperlink>
      <w:r>
        <w:t xml:space="preserve">,</w:t>
      </w:r>
      <w:r>
        <w:t xml:space="preserve"> </w:t>
      </w:r>
      <m:oMath>
        <m:r>
          <m:t>M</m:t>
        </m:r>
        <m:r>
          <m:rPr>
            <m:sty m:val="p"/>
          </m:rPr>
          <m:t>(</m:t>
        </m:r>
        <m:r>
          <m:t>t</m:t>
        </m:r>
        <m:r>
          <m:rPr>
            <m:sty m:val="p"/>
          </m:rPr>
          <m:t>)</m:t>
        </m:r>
      </m:oMath>
      <w:r>
        <w:t xml:space="preserve"> </w:t>
      </w:r>
      <w:r>
        <w:t xml:space="preserve">is the mass within the boundary at time</w:t>
      </w:r>
      <w:r>
        <w:t xml:space="preserve"> </w:t>
      </w:r>
      <m:oMath>
        <m:r>
          <m:t>t</m:t>
        </m:r>
      </m:oMath>
      <w:r>
        <w:t xml:space="preserve">. Each inlet or outlet mass flow,</w:t>
      </w:r>
      <w:r>
        <w:t xml:space="preserve"> </w:t>
      </w:r>
      <m:oMath>
        <m:acc>
          <m:accPr>
            <m:chr m:val="̇"/>
          </m:accPr>
          <m:e>
            <m:r>
              <m:t>m</m:t>
            </m:r>
          </m:e>
        </m:acc>
      </m:oMath>
      <w:r>
        <w:t xml:space="preserve">, has units of mass per time. Accumulation,</w:t>
      </w:r>
      <w:r>
        <w:t xml:space="preserve"> </w:t>
      </w:r>
      <m:oMath>
        <m:r>
          <m:t>d</m:t>
        </m:r>
        <m:r>
          <m:t>M</m:t>
        </m:r>
        <m:r>
          <m:rPr>
            <m:sty m:val="p"/>
          </m:rPr>
          <m:t>/</m:t>
        </m:r>
        <m:r>
          <m:t>d</m:t>
        </m:r>
        <m:r>
          <m:t>t</m:t>
        </m:r>
      </m:oMath>
      <w:r>
        <w:t xml:space="preserve">, is not another stream. It is the rate at which the inventory already inside the control volume changes.</w:t>
      </w:r>
    </w:p>
    <w:p>
      <w:pPr>
        <w:pStyle w:val="BodyText"/>
      </w:pPr>
      <w:r>
        <w:t xml:space="preserve">The boundary is not a decorative drawing. A boundary around one unit diagnoses that unit. A boundary around a complete line makes internal streams disappear from the overall balance because they cross internal interfaces, not the external boundary. A leak may be invisible under one boundary and evident under another. The first act of balancing is therefore not writing an equation; it is declaring what is inside, what is outside, and over which interval the system is observed.</w:t>
      </w:r>
    </w:p>
    <w:bookmarkEnd w:id="19"/>
    <w:bookmarkStart w:id="23" w:name="general-form"/>
    <w:p>
      <w:pPr>
        <w:pStyle w:val="Heading2"/>
      </w:pPr>
      <w:r>
        <w:t xml:space="preserve">General form</w:t>
      </w:r>
    </w:p>
    <w:p>
      <w:pPr>
        <w:pStyle w:val="FirstParagraph"/>
      </w:pPr>
      <w:r>
        <w:t xml:space="preserve">For an extensive quantity</w:t>
      </w:r>
      <w:r>
        <w:t xml:space="preserve"> </w:t>
      </w:r>
      <m:oMath>
        <m:r>
          <m:t>B</m:t>
        </m:r>
      </m:oMath>
      <w:r>
        <w:t xml:space="preserve">, the accounting structure is:</w:t>
      </w:r>
    </w:p>
    <w:p>
      <w:pPr>
        <w:pStyle w:val="BodyText"/>
      </w:pPr>
      <w:bookmarkStart w:id="20" w:name="eq-general"/>
      <m:oMathPara>
        <m:oMathParaPr>
          <m:jc m:val="center"/>
        </m:oMathParaPr>
        <m:oMath>
          <m:r>
            <m:rPr>
              <m:nor/>
              <m:sty m:val="p"/>
            </m:rPr>
            <m:t>Input</m:t>
          </m:r>
          <m:r>
            <m:rPr>
              <m:sty m:val="p"/>
            </m:rPr>
            <m:t>−</m:t>
          </m:r>
          <m:r>
            <m:rPr>
              <m:nor/>
              <m:sty m:val="p"/>
            </m:rPr>
            <m:t>Output</m:t>
          </m:r>
          <m:r>
            <m:rPr>
              <m:sty m:val="p"/>
            </m:rPr>
            <m:t>+</m:t>
          </m:r>
          <m:r>
            <m:rPr>
              <m:nor/>
              <m:sty m:val="p"/>
            </m:rPr>
            <m:t>Generation</m:t>
          </m:r>
          <m:r>
            <m:rPr>
              <m:sty m:val="p"/>
            </m:rPr>
            <m:t>−</m:t>
          </m:r>
          <m:r>
            <m:rPr>
              <m:nor/>
              <m:sty m:val="p"/>
            </m:rPr>
            <m:t>Consumption</m:t>
          </m:r>
          <m:r>
            <m:rPr>
              <m:sty m:val="p"/>
            </m:rPr>
            <m:t>=</m:t>
          </m:r>
          <m:r>
            <m:rPr>
              <m:nor/>
              <m:sty m:val="p"/>
            </m:rPr>
            <m:t>Accumulation</m:t>
          </m:r>
          <m:r>
            <m:rPr>
              <m:sty m:val="p"/>
            </m:rPr>
            <m:t>.</m:t>
          </m:r>
          <m:r>
            <m:t>  </m:t>
          </m:r>
          <m:r>
            <m:rPr>
              <m:sty m:val="p"/>
            </m:rPr>
            <m:t>(</m:t>
          </m:r>
          <m:r>
            <m:t>1</m:t>
          </m:r>
          <m:r>
            <m:rPr>
              <m:sty m:val="p"/>
            </m:rPr>
            <m:t>)</m:t>
          </m:r>
        </m:oMath>
      </m:oMathPara>
      <w:bookmarkEnd w:id="20"/>
    </w:p>
    <w:p>
      <w:pPr>
        <w:pStyle w:val="FirstParagraph"/>
      </w:pPr>
      <w:r>
        <w:t xml:space="preserve">For</w:t>
      </w:r>
      <w:r>
        <w:t xml:space="preserve"> </w:t>
      </w:r>
      <w:r>
        <w:rPr>
          <w:b/>
          <w:bCs/>
        </w:rPr>
        <w:t xml:space="preserve">total mass</w:t>
      </w:r>
      <w:r>
        <w:t xml:space="preserve"> </w:t>
      </w:r>
      <w:r>
        <w:t xml:space="preserve">in ordinary chemical processes, mass is neither generated nor consumed. The dynamic form is:</w:t>
      </w:r>
    </w:p>
    <w:p>
      <w:pPr>
        <w:pStyle w:val="BodyText"/>
      </w:pPr>
      <w:bookmarkStart w:id="21" w:name="eq-total-dynamic"/>
      <m:oMathPara>
        <m:oMathParaPr>
          <m:jc m:val="center"/>
        </m:oMathParaPr>
        <m:oMath>
          <m:f>
            <m:fPr>
              <m:type m:val="bar"/>
            </m:fPr>
            <m:num>
              <m:r>
                <m:t>d</m:t>
              </m:r>
              <m:r>
                <m:t>M</m:t>
              </m:r>
            </m:num>
            <m:den>
              <m:r>
                <m:t>d</m:t>
              </m:r>
              <m:r>
                <m:t>t</m:t>
              </m:r>
            </m:den>
          </m:f>
          <m:r>
            <m:rPr>
              <m:sty m:val="p"/>
            </m:rPr>
            <m:t>=</m:t>
          </m:r>
          <m:nary>
            <m:naryPr>
              <m:chr m:val="∑"/>
              <m:limLoc m:val="undOvr"/>
              <m:subHide m:val="off"/>
              <m:supHide m:val="on"/>
            </m:naryPr>
            <m:sub>
              <m:r>
                <m:t>j</m:t>
              </m:r>
              <m:r>
                <m:rPr>
                  <m:sty m:val="p"/>
                </m:rPr>
                <m:t>∈</m:t>
              </m:r>
              <m:r>
                <m:rPr>
                  <m:sty m:val="p"/>
                </m:rPr>
                <m:t>i</m:t>
              </m:r>
              <m:r>
                <m:rPr>
                  <m:sty m:val="p"/>
                </m:rPr>
                <m:t>n</m:t>
              </m:r>
            </m:sub>
            <m:sup>
              <m:r>
                <m:t>​</m:t>
              </m:r>
            </m:sup>
            <m:e>
              <m:sSub>
                <m:e>
                  <m:acc>
                    <m:accPr>
                      <m:chr m:val="̇"/>
                    </m:accPr>
                    <m:e>
                      <m:r>
                        <m:t>m</m:t>
                      </m:r>
                    </m:e>
                  </m:acc>
                </m:e>
                <m:sub>
                  <m:r>
                    <m:t>j</m:t>
                  </m:r>
                </m:sub>
              </m:sSub>
            </m:e>
          </m:nary>
          <m:r>
            <m:rPr>
              <m:sty m:val="p"/>
            </m:rPr>
            <m:t>−</m:t>
          </m:r>
          <m:nary>
            <m:naryPr>
              <m:chr m:val="∑"/>
              <m:limLoc m:val="undOvr"/>
              <m:subHide m:val="off"/>
              <m:supHide m:val="on"/>
            </m:naryPr>
            <m:sub>
              <m:r>
                <m:t>k</m:t>
              </m:r>
              <m:r>
                <m:rPr>
                  <m:sty m:val="p"/>
                </m:rPr>
                <m:t>∈</m:t>
              </m:r>
              <m:r>
                <m:rPr>
                  <m:sty m:val="p"/>
                </m:rPr>
                <m:t>o</m:t>
              </m:r>
              <m:r>
                <m:rPr>
                  <m:sty m:val="p"/>
                </m:rPr>
                <m:t>u</m:t>
              </m:r>
              <m:r>
                <m:rPr>
                  <m:sty m:val="p"/>
                </m:rPr>
                <m:t>t</m:t>
              </m:r>
            </m:sub>
            <m:sup>
              <m:r>
                <m:t>​</m:t>
              </m:r>
            </m:sup>
            <m:e>
              <m:sSub>
                <m:e>
                  <m:acc>
                    <m:accPr>
                      <m:chr m:val="̇"/>
                    </m:accPr>
                    <m:e>
                      <m:r>
                        <m:t>m</m:t>
                      </m:r>
                    </m:e>
                  </m:acc>
                </m:e>
                <m:sub>
                  <m:r>
                    <m:t>k</m:t>
                  </m:r>
                </m:sub>
              </m:sSub>
            </m:e>
          </m:nary>
          <m:r>
            <m:rPr>
              <m:sty m:val="p"/>
            </m:rPr>
            <m:t>.</m:t>
          </m:r>
          <m:r>
            <m:t>  </m:t>
          </m:r>
          <m:r>
            <m:rPr>
              <m:sty m:val="p"/>
            </m:rPr>
            <m:t>(</m:t>
          </m:r>
          <m:r>
            <m:t>2</m:t>
          </m:r>
          <m:r>
            <m:rPr>
              <m:sty m:val="p"/>
            </m:rPr>
            <m:t>)</m:t>
          </m:r>
        </m:oMath>
      </m:oMathPara>
      <w:bookmarkEnd w:id="21"/>
    </w:p>
    <w:p>
      <w:pPr>
        <w:pStyle w:val="FirstParagraph"/>
      </w:pPr>
      <w:r>
        <w:t xml:space="preserve">Every term in</w:t>
      </w:r>
      <w:r>
        <w:t xml:space="preserve"> </w:t>
      </w:r>
      <w:hyperlink w:anchor="eq-total-dynamic">
        <w:r>
          <w:rPr>
            <w:rStyle w:val="Hyperlink"/>
          </w:rPr>
          <w:t xml:space="preserve">Equation 2</w:t>
        </w:r>
      </w:hyperlink>
      <w:r>
        <w:t xml:space="preserve"> </w:t>
      </w:r>
      <w:r>
        <w:t xml:space="preserve">has units of mass per time. Integration from</w:t>
      </w:r>
      <w:r>
        <w:t xml:space="preserve"> </w:t>
      </w:r>
      <m:oMath>
        <m:sSub>
          <m:e>
            <m:r>
              <m:t>t</m:t>
            </m:r>
          </m:e>
          <m:sub>
            <m:r>
              <m:t>0</m:t>
            </m:r>
          </m:sub>
        </m:sSub>
      </m:oMath>
      <w:r>
        <w:t xml:space="preserve"> </w:t>
      </w:r>
      <w:r>
        <w:t xml:space="preserve">to</w:t>
      </w:r>
      <w:r>
        <w:t xml:space="preserve"> </w:t>
      </w:r>
      <m:oMath>
        <m:sSub>
          <m:e>
            <m:r>
              <m:t>t</m:t>
            </m:r>
          </m:e>
          <m:sub>
            <m:r>
              <m:t>1</m:t>
            </m:r>
          </m:sub>
        </m:sSub>
      </m:oMath>
      <w:r>
        <w:t xml:space="preserve"> </w:t>
      </w:r>
      <w:r>
        <w:t xml:space="preserve">gives:</w:t>
      </w:r>
    </w:p>
    <w:p>
      <w:pPr>
        <w:pStyle w:val="BodyText"/>
      </w:pPr>
      <w:bookmarkStart w:id="22" w:name="eq-total-integral"/>
      <m:oMathPara>
        <m:oMathParaPr>
          <m:jc m:val="center"/>
        </m:oMathParaPr>
        <m:oMath>
          <m:r>
            <m:t>M</m:t>
          </m:r>
          <m:r>
            <m:rPr>
              <m:sty m:val="p"/>
            </m:rPr>
            <m:t>(</m:t>
          </m:r>
          <m:sSub>
            <m:e>
              <m:r>
                <m:t>t</m:t>
              </m:r>
            </m:e>
            <m:sub>
              <m:r>
                <m:t>1</m:t>
              </m:r>
            </m:sub>
          </m:sSub>
          <m:r>
            <m:rPr>
              <m:sty m:val="p"/>
            </m:rPr>
            <m:t>)</m:t>
          </m:r>
          <m:r>
            <m:rPr>
              <m:sty m:val="p"/>
            </m:rPr>
            <m:t>−</m:t>
          </m:r>
          <m:r>
            <m:t>M</m:t>
          </m:r>
          <m:r>
            <m:rPr>
              <m:sty m:val="p"/>
            </m:rPr>
            <m:t>(</m:t>
          </m:r>
          <m:sSub>
            <m:e>
              <m:r>
                <m:t>t</m:t>
              </m:r>
            </m:e>
            <m:sub>
              <m:r>
                <m:t>0</m:t>
              </m:r>
            </m:sub>
          </m:sSub>
          <m:r>
            <m:rPr>
              <m:sty m:val="p"/>
            </m:rPr>
            <m:t>)</m:t>
          </m:r>
          <m:r>
            <m:rPr>
              <m:sty m:val="p"/>
            </m:rPr>
            <m:t>=</m:t>
          </m:r>
          <m:nary>
            <m:naryPr>
              <m:chr m:val="∫"/>
              <m:limLoc m:val="subSup"/>
              <m:subHide m:val="off"/>
              <m:supHide m:val="off"/>
            </m:naryPr>
            <m:sub>
              <m:sSub>
                <m:e>
                  <m:r>
                    <m:t>t</m:t>
                  </m:r>
                </m:e>
                <m:sub>
                  <m:r>
                    <m:t>0</m:t>
                  </m:r>
                </m:sub>
              </m:sSub>
            </m:sub>
            <m:sup>
              <m:sSub>
                <m:e>
                  <m:r>
                    <m:t>t</m:t>
                  </m:r>
                </m:e>
                <m:sub>
                  <m:r>
                    <m:t>1</m:t>
                  </m:r>
                </m:sub>
              </m:sSub>
            </m:sup>
            <m:e>
              <m:d>
                <m:dPr>
                  <m:begChr m:val="("/>
                  <m:sepChr m:val=""/>
                  <m:endChr m:val=")"/>
                  <m:grow/>
                </m:dPr>
                <m:e>
                  <m:r>
                    <m:rPr>
                      <m:sty m:val="p"/>
                    </m:rPr>
                    <m:t>∑</m:t>
                  </m:r>
                  <m:sSub>
                    <m:e>
                      <m:acc>
                        <m:accPr>
                          <m:chr m:val="̇"/>
                        </m:accPr>
                        <m:e>
                          <m:r>
                            <m:t>m</m:t>
                          </m:r>
                        </m:e>
                      </m:acc>
                    </m:e>
                    <m:sub>
                      <m:r>
                        <m:rPr>
                          <m:sty m:val="p"/>
                        </m:rPr>
                        <m:t>i</m:t>
                      </m:r>
                      <m:r>
                        <m:rPr>
                          <m:sty m:val="p"/>
                        </m:rPr>
                        <m:t>n</m:t>
                      </m:r>
                    </m:sub>
                  </m:sSub>
                  <m:r>
                    <m:rPr>
                      <m:sty m:val="p"/>
                    </m:rPr>
                    <m:t>−</m:t>
                  </m:r>
                  <m:r>
                    <m:rPr>
                      <m:sty m:val="p"/>
                    </m:rPr>
                    <m:t>∑</m:t>
                  </m:r>
                  <m:sSub>
                    <m:e>
                      <m:acc>
                        <m:accPr>
                          <m:chr m:val="̇"/>
                        </m:accPr>
                        <m:e>
                          <m:r>
                            <m:t>m</m:t>
                          </m:r>
                        </m:e>
                      </m:acc>
                    </m:e>
                    <m:sub>
                      <m:r>
                        <m:rPr>
                          <m:sty m:val="p"/>
                        </m:rPr>
                        <m:t>o</m:t>
                      </m:r>
                      <m:r>
                        <m:rPr>
                          <m:sty m:val="p"/>
                        </m:rPr>
                        <m:t>u</m:t>
                      </m:r>
                      <m:r>
                        <m:rPr>
                          <m:sty m:val="p"/>
                        </m:rPr>
                        <m:t>t</m:t>
                      </m:r>
                    </m:sub>
                  </m:sSub>
                </m:e>
              </m:d>
            </m:e>
          </m:nary>
          <m:r>
            <m:t>d</m:t>
          </m:r>
          <m:r>
            <m:t>t</m:t>
          </m:r>
          <m:r>
            <m:rPr>
              <m:sty m:val="p"/>
            </m:rPr>
            <m:t>.</m:t>
          </m:r>
          <m:r>
            <m:t>  </m:t>
          </m:r>
          <m:r>
            <m:rPr>
              <m:sty m:val="p"/>
            </m:rPr>
            <m:t>(</m:t>
          </m:r>
          <m:r>
            <m:t>3</m:t>
          </m:r>
          <m:r>
            <m:rPr>
              <m:sty m:val="p"/>
            </m:rPr>
            <m:t>)</m:t>
          </m:r>
        </m:oMath>
      </m:oMathPara>
      <w:bookmarkEnd w:id="22"/>
    </w:p>
    <w:p>
      <w:pPr>
        <w:pStyle w:val="FirstParagraph"/>
      </w:pPr>
      <w:r>
        <w:t xml:space="preserve">The integral form is essential when streams vary. Comparing initial and final inventory with accumulated totals over the same interval prevents incompatible averages from being treated as simultaneous measurements.</w:t>
      </w:r>
    </w:p>
    <w:bookmarkEnd w:id="23"/>
    <w:bookmarkEnd w:id="24"/>
    <w:bookmarkStart w:id="27" w:name="total-mass-components-and-reaction"/>
    <w:p>
      <w:pPr>
        <w:pStyle w:val="Heading1"/>
      </w:pPr>
      <w:r>
        <w:t xml:space="preserve">Total mass, components, and reaction</w:t>
      </w:r>
    </w:p>
    <w:p>
      <w:pPr>
        <w:pStyle w:val="FirstParagraph"/>
      </w:pPr>
      <w:r>
        <w:t xml:space="preserve">A total balance answers</w:t>
      </w:r>
      <w:r>
        <w:t xml:space="preserve"> </w:t>
      </w:r>
      <w:r>
        <w:rPr>
          <w:b/>
          <w:bCs/>
        </w:rPr>
        <w:t xml:space="preserve">how much mass</w:t>
      </w:r>
      <w:r>
        <w:t xml:space="preserve"> </w:t>
      </w:r>
      <w:r>
        <w:t xml:space="preserve">exists. A component balance answers</w:t>
      </w:r>
      <w:r>
        <w:t xml:space="preserve"> </w:t>
      </w:r>
      <w:r>
        <w:rPr>
          <w:b/>
          <w:bCs/>
        </w:rPr>
        <w:t xml:space="preserve">how much of a defined substance, phase, or category</w:t>
      </w:r>
      <w:r>
        <w:t xml:space="preserve"> </w:t>
      </w:r>
      <w:r>
        <w:t xml:space="preserve">exists. If</w:t>
      </w:r>
      <w:r>
        <w:t xml:space="preserve"> </w:t>
      </w:r>
      <m:oMath>
        <m:sSub>
          <m:e>
            <m:r>
              <m:t>w</m:t>
            </m:r>
          </m:e>
          <m:sub>
            <m:r>
              <m:t>i</m:t>
            </m:r>
          </m:sub>
        </m:sSub>
      </m:oMath>
      <w:r>
        <w:t xml:space="preserve"> </w:t>
      </w:r>
      <w:r>
        <w:t xml:space="preserve">is the mass fraction of component</w:t>
      </w:r>
      <w:r>
        <w:t xml:space="preserve"> </w:t>
      </w:r>
      <m:oMath>
        <m:r>
          <m:t>i</m:t>
        </m:r>
      </m:oMath>
      <w:r>
        <w:t xml:space="preserve"> </w:t>
      </w:r>
      <w:r>
        <w:t xml:space="preserve">and</w:t>
      </w:r>
      <w:r>
        <w:t xml:space="preserve"> </w:t>
      </w:r>
      <m:oMath>
        <m:sSub>
          <m:e>
            <m:r>
              <m:t>M</m:t>
            </m:r>
          </m:e>
          <m:sub>
            <m:r>
              <m:t>i</m:t>
            </m:r>
          </m:sub>
        </m:sSub>
        <m:r>
          <m:rPr>
            <m:sty m:val="p"/>
          </m:rPr>
          <m:t>=</m:t>
        </m:r>
        <m:r>
          <m:t>M</m:t>
        </m:r>
        <m:sSub>
          <m:e>
            <m:r>
              <m:t>w</m:t>
            </m:r>
          </m:e>
          <m:sub>
            <m:r>
              <m:t>i</m:t>
            </m:r>
          </m:sub>
        </m:sSub>
      </m:oMath>
      <w:r>
        <w:t xml:space="preserve">, then:</w:t>
      </w:r>
    </w:p>
    <w:p>
      <w:pPr>
        <w:pStyle w:val="BodyText"/>
      </w:pPr>
      <w:bookmarkStart w:id="25" w:name="eq-component"/>
      <m:oMathPara>
        <m:oMathParaPr>
          <m:jc m:val="center"/>
        </m:oMathParaPr>
        <m:oMath>
          <m:f>
            <m:fPr>
              <m:type m:val="bar"/>
            </m:fPr>
            <m:num>
              <m:r>
                <m:t>d</m:t>
              </m:r>
              <m:r>
                <m:rPr>
                  <m:sty m:val="p"/>
                </m:rPr>
                <m:t>(</m:t>
              </m:r>
              <m:r>
                <m:t>M</m:t>
              </m:r>
              <m:sSub>
                <m:e>
                  <m:r>
                    <m:t>w</m:t>
                  </m:r>
                </m:e>
                <m:sub>
                  <m:r>
                    <m:t>i</m:t>
                  </m:r>
                </m:sub>
              </m:sSub>
              <m:r>
                <m:rPr>
                  <m:sty m:val="p"/>
                </m:rPr>
                <m:t>)</m:t>
              </m:r>
            </m:num>
            <m:den>
              <m:r>
                <m:t>d</m:t>
              </m:r>
              <m:r>
                <m:t>t</m:t>
              </m:r>
            </m:den>
          </m:f>
          <m:r>
            <m:rPr>
              <m:sty m:val="p"/>
            </m:rPr>
            <m:t>=</m:t>
          </m:r>
          <m:nary>
            <m:naryPr>
              <m:chr m:val="∑"/>
              <m:limLoc m:val="undOvr"/>
              <m:subHide m:val="off"/>
              <m:supHide m:val="on"/>
            </m:naryPr>
            <m:sub>
              <m:r>
                <m:t>j</m:t>
              </m:r>
              <m:r>
                <m:rPr>
                  <m:sty m:val="p"/>
                </m:rPr>
                <m:t>∈</m:t>
              </m:r>
              <m:r>
                <m:rPr>
                  <m:sty m:val="p"/>
                </m:rPr>
                <m:t>i</m:t>
              </m:r>
              <m:r>
                <m:rPr>
                  <m:sty m:val="p"/>
                </m:rPr>
                <m:t>n</m:t>
              </m:r>
            </m:sub>
            <m:sup>
              <m:r>
                <m:t>​</m:t>
              </m:r>
            </m:sup>
            <m:e>
              <m:sSub>
                <m:e>
                  <m:acc>
                    <m:accPr>
                      <m:chr m:val="̇"/>
                    </m:accPr>
                    <m:e>
                      <m:r>
                        <m:t>m</m:t>
                      </m:r>
                    </m:e>
                  </m:acc>
                </m:e>
                <m:sub>
                  <m:r>
                    <m:t>j</m:t>
                  </m:r>
                </m:sub>
              </m:sSub>
            </m:e>
          </m:nary>
          <m:sSub>
            <m:e>
              <m:r>
                <m:t>w</m:t>
              </m:r>
            </m:e>
            <m:sub>
              <m:r>
                <m:t>i</m:t>
              </m:r>
              <m:r>
                <m:rPr>
                  <m:sty m:val="p"/>
                </m:rPr>
                <m:t>,</m:t>
              </m:r>
              <m:r>
                <m:t>j</m:t>
              </m:r>
            </m:sub>
          </m:sSub>
          <m:r>
            <m:rPr>
              <m:sty m:val="p"/>
            </m:rPr>
            <m:t>−</m:t>
          </m:r>
          <m:nary>
            <m:naryPr>
              <m:chr m:val="∑"/>
              <m:limLoc m:val="undOvr"/>
              <m:subHide m:val="off"/>
              <m:supHide m:val="on"/>
            </m:naryPr>
            <m:sub>
              <m:r>
                <m:t>k</m:t>
              </m:r>
              <m:r>
                <m:rPr>
                  <m:sty m:val="p"/>
                </m:rPr>
                <m:t>∈</m:t>
              </m:r>
              <m:r>
                <m:rPr>
                  <m:sty m:val="p"/>
                </m:rPr>
                <m:t>o</m:t>
              </m:r>
              <m:r>
                <m:rPr>
                  <m:sty m:val="p"/>
                </m:rPr>
                <m:t>u</m:t>
              </m:r>
              <m:r>
                <m:rPr>
                  <m:sty m:val="p"/>
                </m:rPr>
                <m:t>t</m:t>
              </m:r>
            </m:sub>
            <m:sup>
              <m:r>
                <m:t>​</m:t>
              </m:r>
            </m:sup>
            <m:e>
              <m:sSub>
                <m:e>
                  <m:acc>
                    <m:accPr>
                      <m:chr m:val="̇"/>
                    </m:accPr>
                    <m:e>
                      <m:r>
                        <m:t>m</m:t>
                      </m:r>
                    </m:e>
                  </m:acc>
                </m:e>
                <m:sub>
                  <m:r>
                    <m:t>k</m:t>
                  </m:r>
                </m:sub>
              </m:sSub>
            </m:e>
          </m:nary>
          <m:sSub>
            <m:e>
              <m:r>
                <m:t>w</m:t>
              </m:r>
            </m:e>
            <m:sub>
              <m:r>
                <m:t>i</m:t>
              </m:r>
              <m:r>
                <m:rPr>
                  <m:sty m:val="p"/>
                </m:rPr>
                <m:t>,</m:t>
              </m:r>
              <m:r>
                <m:t>k</m:t>
              </m:r>
            </m:sub>
          </m:sSub>
          <m:r>
            <m:rPr>
              <m:sty m:val="p"/>
            </m:rPr>
            <m:t>+</m:t>
          </m:r>
          <m:sSub>
            <m:e>
              <m:acc>
                <m:accPr>
                  <m:chr m:val="̇"/>
                </m:accPr>
                <m:e>
                  <m:r>
                    <m:t>m</m:t>
                  </m:r>
                </m:e>
              </m:acc>
            </m:e>
            <m:sub>
              <m:r>
                <m:t>i</m:t>
              </m:r>
              <m:r>
                <m:rPr>
                  <m:sty m:val="p"/>
                </m:rPr>
                <m:t>,</m:t>
              </m:r>
              <m:r>
                <m:rPr>
                  <m:sty m:val="p"/>
                </m:rPr>
                <m:t>g</m:t>
              </m:r>
              <m:r>
                <m:rPr>
                  <m:sty m:val="p"/>
                </m:rPr>
                <m:t>e</m:t>
              </m:r>
              <m:r>
                <m:rPr>
                  <m:sty m:val="p"/>
                </m:rPr>
                <m:t>n</m:t>
              </m:r>
            </m:sub>
          </m:sSub>
          <m:r>
            <m:rPr>
              <m:sty m:val="p"/>
            </m:rPr>
            <m:t>−</m:t>
          </m:r>
          <m:sSub>
            <m:e>
              <m:acc>
                <m:accPr>
                  <m:chr m:val="̇"/>
                </m:accPr>
                <m:e>
                  <m:r>
                    <m:t>m</m:t>
                  </m:r>
                </m:e>
              </m:acc>
            </m:e>
            <m:sub>
              <m:r>
                <m:t>i</m:t>
              </m:r>
              <m:r>
                <m:rPr>
                  <m:sty m:val="p"/>
                </m:rPr>
                <m:t>,</m:t>
              </m:r>
              <m:r>
                <m:rPr>
                  <m:sty m:val="p"/>
                </m:rPr>
                <m:t>c</m:t>
              </m:r>
              <m:r>
                <m:rPr>
                  <m:sty m:val="p"/>
                </m:rPr>
                <m:t>o</m:t>
              </m:r>
              <m:r>
                <m:rPr>
                  <m:sty m:val="p"/>
                </m:rPr>
                <m:t>n</m:t>
              </m:r>
              <m:r>
                <m:rPr>
                  <m:sty m:val="p"/>
                </m:rPr>
                <m:t>s</m:t>
              </m:r>
            </m:sub>
          </m:sSub>
          <m:r>
            <m:rPr>
              <m:sty m:val="p"/>
            </m:rPr>
            <m:t>.</m:t>
          </m:r>
          <m:r>
            <m:t>  </m:t>
          </m:r>
          <m:r>
            <m:rPr>
              <m:sty m:val="p"/>
            </m:rPr>
            <m:t>(</m:t>
          </m:r>
          <m:r>
            <m:t>4</m:t>
          </m:r>
          <m:r>
            <m:rPr>
              <m:sty m:val="p"/>
            </m:rPr>
            <m:t>)</m:t>
          </m:r>
        </m:oMath>
      </m:oMathPara>
      <w:bookmarkEnd w:id="25"/>
    </w:p>
    <w:p>
      <w:pPr>
        <w:pStyle w:val="FirstParagraph"/>
      </w:pPr>
      <w:r>
        <w:t xml:space="preserve">Generation and consumption are zero for a component in a nonreactive process. In a reactor, one species may be consumed and another generated while total mass remains conserved. Confusing these levels leads to familiar errors: claiming that a species vanished without accounting for reaction, or inserting generation into a total balance as if reaction created mass.</w:t>
      </w:r>
    </w:p>
    <w:p>
      <w:pPr>
        <w:pStyle w:val="BodyText"/>
      </w:pPr>
      <w:r>
        <w:t xml:space="preserve">Mass fractions must satisfy:</w:t>
      </w:r>
    </w:p>
    <w:p>
      <w:pPr>
        <w:pStyle w:val="BodyText"/>
      </w:pPr>
      <w:bookmarkStart w:id="26" w:name="eq-fractions"/>
      <m:oMathPara>
        <m:oMathParaPr>
          <m:jc m:val="center"/>
        </m:oMathParaPr>
        <m:oMath>
          <m:nary>
            <m:naryPr>
              <m:chr m:val="∑"/>
              <m:limLoc m:val="undOvr"/>
              <m:subHide m:val="off"/>
              <m:supHide m:val="on"/>
            </m:naryPr>
            <m:sub>
              <m:r>
                <m:t>i</m:t>
              </m:r>
            </m:sub>
            <m:sup>
              <m:r>
                <m:t>​</m:t>
              </m:r>
            </m:sup>
            <m:e>
              <m:sSub>
                <m:e>
                  <m:r>
                    <m:t>w</m:t>
                  </m:r>
                </m:e>
                <m:sub>
                  <m:r>
                    <m:t>i</m:t>
                  </m:r>
                </m:sub>
              </m:sSub>
            </m:e>
          </m:nary>
          <m:r>
            <m:rPr>
              <m:sty m:val="p"/>
            </m:rPr>
            <m:t>=</m:t>
          </m:r>
          <m:r>
            <m:t>1</m:t>
          </m:r>
          <m:r>
            <m:rPr>
              <m:sty m:val="p"/>
            </m:rPr>
            <m:t>,</m:t>
          </m:r>
          <m:r>
            <m:t>  </m:t>
          </m:r>
          <m:r>
            <m:t>0</m:t>
          </m:r>
          <m:r>
            <m:rPr>
              <m:sty m:val="p"/>
            </m:rPr>
            <m:t>≤</m:t>
          </m:r>
          <m:sSub>
            <m:e>
              <m:r>
                <m:t>w</m:t>
              </m:r>
            </m:e>
            <m:sub>
              <m:r>
                <m:t>i</m:t>
              </m:r>
            </m:sub>
          </m:sSub>
          <m:r>
            <m:rPr>
              <m:sty m:val="p"/>
            </m:rPr>
            <m:t>≤</m:t>
          </m:r>
          <m:r>
            <m:t>1</m:t>
          </m:r>
          <m:r>
            <m:rPr>
              <m:sty m:val="p"/>
            </m:rPr>
            <m:t>.</m:t>
          </m:r>
          <m:r>
            <m:t>  </m:t>
          </m:r>
          <m:r>
            <m:rPr>
              <m:sty m:val="p"/>
            </m:rPr>
            <m:t>(</m:t>
          </m:r>
          <m:r>
            <m:t>5</m:t>
          </m:r>
          <m:r>
            <m:rPr>
              <m:sty m:val="p"/>
            </m:rPr>
            <m:t>)</m:t>
          </m:r>
        </m:oMath>
      </m:oMathPara>
      <w:bookmarkEnd w:id="26"/>
    </w:p>
    <w:p>
      <w:pPr>
        <w:pStyle w:val="FirstParagraph"/>
      </w:pPr>
      <w:r>
        <w:t xml:space="preserve">This is a consistency equation. A composition whose components sum to 0.97 or 1.04 should not be normalized automatically before investigating rounding, wet versus dry basis, omitted components, or incompatible analytical methods.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Symbol</w:t>
            </w:r>
          </w:p>
        </w:tc>
        <w:tc>
          <w:tcPr/>
          <w:p>
            <w:pPr>
              <w:pStyle w:val="Compact"/>
            </w:pPr>
            <w:r>
              <w:t xml:space="preserve">Meaning</w:t>
            </w:r>
          </w:p>
        </w:tc>
        <w:tc>
          <w:tcPr/>
          <w:p>
            <w:pPr>
              <w:pStyle w:val="Compact"/>
            </w:pPr>
            <w:r>
              <w:t xml:space="preserve">Typical unit</w:t>
            </w:r>
          </w:p>
        </w:tc>
      </w:tr>
      <w:tr>
        <w:tc>
          <w:tcPr/>
          <w:p>
            <w:pPr>
              <w:pStyle w:val="Compact"/>
            </w:pPr>
            <m:oMath>
              <m:r>
                <m:t>M</m:t>
              </m:r>
            </m:oMath>
            <w:r>
              <w:t xml:space="preserve">​</w:t>
            </w:r>
          </w:p>
        </w:tc>
        <w:tc>
          <w:tcPr/>
          <w:p>
            <w:pPr>
              <w:pStyle w:val="Compact"/>
            </w:pPr>
            <w:r>
              <w:t xml:space="preserve">total inventory inside the boundary</w:t>
            </w:r>
          </w:p>
        </w:tc>
        <w:tc>
          <w:tcPr/>
          <w:p>
            <w:pPr>
              <w:pStyle w:val="Compact"/>
            </w:pPr>
            <w:r>
              <w:t xml:space="preserve">kg</w:t>
            </w:r>
          </w:p>
        </w:tc>
      </w:tr>
      <w:tr>
        <w:tc>
          <w:tcPr/>
          <w:p>
            <w:pPr>
              <w:pStyle w:val="Compact"/>
            </w:pPr>
            <m:oMath>
              <m:sSub>
                <m:e>
                  <m:r>
                    <m:t>M</m:t>
                  </m:r>
                </m:e>
                <m:sub>
                  <m:r>
                    <m:t>i</m:t>
                  </m:r>
                </m:sub>
              </m:sSub>
            </m:oMath>
            <w:r>
              <w:t xml:space="preserve">​</w:t>
            </w:r>
          </w:p>
        </w:tc>
        <w:tc>
          <w:tcPr/>
          <w:p>
            <w:pPr>
              <w:pStyle w:val="Compact"/>
            </w:pPr>
            <w:r>
              <w:t xml:space="preserve">inventory of component</w:t>
            </w:r>
            <w:r>
              <w:t xml:space="preserve"> </w:t>
            </w:r>
            <m:oMath>
              <m:r>
                <m:t>i</m:t>
              </m:r>
            </m:oMath>
          </w:p>
        </w:tc>
        <w:tc>
          <w:tcPr/>
          <w:p>
            <w:pPr>
              <w:pStyle w:val="Compact"/>
            </w:pPr>
            <w:r>
              <w:t xml:space="preserve">kg</w:t>
            </w:r>
          </w:p>
        </w:tc>
      </w:tr>
      <w:tr>
        <w:tc>
          <w:tcPr/>
          <w:p>
            <w:pPr>
              <w:pStyle w:val="Compact"/>
            </w:pPr>
            <m:oMath>
              <m:acc>
                <m:accPr>
                  <m:chr m:val="̇"/>
                </m:accPr>
                <m:e>
                  <m:r>
                    <m:t>m</m:t>
                  </m:r>
                </m:e>
              </m:acc>
            </m:oMath>
            <w:r>
              <w:t xml:space="preserve">​</w:t>
            </w:r>
          </w:p>
        </w:tc>
        <w:tc>
          <w:tcPr/>
          <w:p>
            <w:pPr>
              <w:pStyle w:val="Compact"/>
            </w:pPr>
            <w:r>
              <w:t xml:space="preserve">mass flow rate</w:t>
            </w:r>
          </w:p>
        </w:tc>
        <w:tc>
          <w:tcPr/>
          <w:p>
            <w:pPr>
              <w:pStyle w:val="Compact"/>
            </w:pPr>
            <w:r>
              <w:t xml:space="preserve">kg/h</w:t>
            </w:r>
          </w:p>
        </w:tc>
      </w:tr>
      <w:tr>
        <w:tc>
          <w:tcPr/>
          <w:p>
            <w:pPr>
              <w:pStyle w:val="Compact"/>
            </w:pPr>
            <m:oMath>
              <m:sSub>
                <m:e>
                  <m:r>
                    <m:t>w</m:t>
                  </m:r>
                </m:e>
                <m:sub>
                  <m:r>
                    <m:t>i</m:t>
                  </m:r>
                </m:sub>
              </m:sSub>
            </m:oMath>
            <w:r>
              <w:t xml:space="preserve">​</w:t>
            </w:r>
          </w:p>
        </w:tc>
        <w:tc>
          <w:tcPr/>
          <w:p>
            <w:pPr>
              <w:pStyle w:val="Compact"/>
            </w:pPr>
            <w:r>
              <w:t xml:space="preserve">component mass fraction</w:t>
            </w:r>
          </w:p>
        </w:tc>
        <w:tc>
          <w:tcPr/>
          <w:p>
            <w:pPr>
              <w:pStyle w:val="Compact"/>
            </w:pPr>
            <w:r>
              <w:t xml:space="preserve">kg/kg</w:t>
            </w:r>
          </w:p>
        </w:tc>
      </w:tr>
      <w:tr>
        <w:tc>
          <w:tcPr/>
          <w:p>
            <w:pPr>
              <w:pStyle w:val="Compact"/>
            </w:pPr>
            <m:oMath>
              <m:r>
                <m:t>t</m:t>
              </m:r>
            </m:oMath>
            <w:r>
              <w:t xml:space="preserve">​</w:t>
            </w:r>
          </w:p>
        </w:tc>
        <w:tc>
          <w:tcPr/>
          <w:p>
            <w:pPr>
              <w:pStyle w:val="Compact"/>
            </w:pPr>
            <w:r>
              <w:t xml:space="preserve">time</w:t>
            </w:r>
          </w:p>
        </w:tc>
        <w:tc>
          <w:tcPr/>
          <w:p>
            <w:pPr>
              <w:pStyle w:val="Compact"/>
            </w:pPr>
            <w:r>
              <w:t xml:space="preserve">h</w:t>
            </w:r>
          </w:p>
        </w:tc>
      </w:tr>
      <w:tr>
        <w:tc>
          <w:tcPr/>
          <w:p>
            <w:pPr>
              <w:pStyle w:val="Compact"/>
            </w:pPr>
            <m:oMath>
              <m:r>
                <m:t>τ</m:t>
              </m:r>
            </m:oMath>
            <w:r>
              <w:t xml:space="preserve">​</w:t>
            </w:r>
          </w:p>
        </w:tc>
        <w:tc>
          <w:tcPr/>
          <w:p>
            <w:pPr>
              <w:pStyle w:val="Compact"/>
            </w:pPr>
            <w:r>
              <w:t xml:space="preserve">space time or characteristic time</w:t>
            </w:r>
          </w:p>
        </w:tc>
        <w:tc>
          <w:tcPr/>
          <w:p>
            <w:pPr>
              <w:pStyle w:val="Compact"/>
            </w:pPr>
            <w:r>
              <w:t xml:space="preserve">h</w:t>
            </w:r>
          </w:p>
        </w:tc>
      </w:tr>
    </w:tbl>
    <w:bookmarkEnd w:id="27"/>
    <w:bookmarkStart w:id="29" w:name="steady-state-does-not-mean-motionless"/>
    <w:p>
      <w:pPr>
        <w:pStyle w:val="Heading1"/>
      </w:pPr>
      <w:r>
        <w:t xml:space="preserve">Steady state does not mean motionless</w:t>
      </w:r>
    </w:p>
    <w:p>
      <w:pPr>
        <w:pStyle w:val="FirstParagraph"/>
      </w:pPr>
      <w:r>
        <w:t xml:space="preserve">A process is at</w:t>
      </w:r>
      <w:r>
        <w:t xml:space="preserve"> </w:t>
      </w:r>
      <w:r>
        <w:rPr>
          <w:b/>
          <w:bCs/>
        </w:rPr>
        <w:t xml:space="preserve">steady state</w:t>
      </w:r>
      <w:r>
        <w:t xml:space="preserve"> </w:t>
      </w:r>
      <w:r>
        <w:t xml:space="preserve">when variables within the boundary do not change with time at the observation scale. Large flows may enter and leave; only net accumulation vanishes:</w:t>
      </w:r>
    </w:p>
    <w:p>
      <w:pPr>
        <w:pStyle w:val="BodyText"/>
      </w:pPr>
      <w:bookmarkStart w:id="28" w:name="eq-steady"/>
      <m:oMathPara>
        <m:oMathParaPr>
          <m:jc m:val="center"/>
        </m:oMathParaPr>
        <m:oMath>
          <m:f>
            <m:fPr>
              <m:type m:val="bar"/>
            </m:fPr>
            <m:num>
              <m:r>
                <m:t>d</m:t>
              </m:r>
              <m:r>
                <m:t>M</m:t>
              </m:r>
            </m:num>
            <m:den>
              <m:r>
                <m:t>d</m:t>
              </m:r>
              <m:r>
                <m:t>t</m:t>
              </m:r>
            </m:den>
          </m:f>
          <m:r>
            <m:rPr>
              <m:sty m:val="p"/>
            </m:rPr>
            <m:t>=</m:t>
          </m:r>
          <m:r>
            <m:t>0</m:t>
          </m:r>
          <m:r>
            <m:t> </m:t>
          </m:r>
          <m:r>
            <m:rPr>
              <m:sty m:val="p"/>
            </m:rPr>
            <m:t>⇒</m:t>
          </m:r>
          <m:r>
            <m:t> </m:t>
          </m:r>
          <m:r>
            <m:rPr>
              <m:sty m:val="p"/>
            </m:rPr>
            <m:t>∑</m:t>
          </m:r>
          <m:sSub>
            <m:e>
              <m:acc>
                <m:accPr>
                  <m:chr m:val="̇"/>
                </m:accPr>
                <m:e>
                  <m:r>
                    <m:t>m</m:t>
                  </m:r>
                </m:e>
              </m:acc>
            </m:e>
            <m:sub>
              <m:r>
                <m:rPr>
                  <m:sty m:val="p"/>
                </m:rPr>
                <m:t>i</m:t>
              </m:r>
              <m:r>
                <m:rPr>
                  <m:sty m:val="p"/>
                </m:rPr>
                <m:t>n</m:t>
              </m:r>
            </m:sub>
          </m:sSub>
          <m:r>
            <m:rPr>
              <m:sty m:val="p"/>
            </m:rPr>
            <m:t>=</m:t>
          </m:r>
          <m:r>
            <m:rPr>
              <m:sty m:val="p"/>
            </m:rPr>
            <m:t>∑</m:t>
          </m:r>
          <m:sSub>
            <m:e>
              <m:acc>
                <m:accPr>
                  <m:chr m:val="̇"/>
                </m:accPr>
                <m:e>
                  <m:r>
                    <m:t>m</m:t>
                  </m:r>
                </m:e>
              </m:acc>
            </m:e>
            <m:sub>
              <m:r>
                <m:rPr>
                  <m:sty m:val="p"/>
                </m:rPr>
                <m:t>o</m:t>
              </m:r>
              <m:r>
                <m:rPr>
                  <m:sty m:val="p"/>
                </m:rPr>
                <m:t>u</m:t>
              </m:r>
              <m:r>
                <m:rPr>
                  <m:sty m:val="p"/>
                </m:rPr>
                <m:t>t</m:t>
              </m:r>
            </m:sub>
          </m:sSub>
          <m:r>
            <m:rPr>
              <m:sty m:val="p"/>
            </m:rPr>
            <m:t>.</m:t>
          </m:r>
          <m:r>
            <m:t>  </m:t>
          </m:r>
          <m:r>
            <m:rPr>
              <m:sty m:val="p"/>
            </m:rPr>
            <m:t>(</m:t>
          </m:r>
          <m:r>
            <m:t>6</m:t>
          </m:r>
          <m:r>
            <m:rPr>
              <m:sty m:val="p"/>
            </m:rPr>
            <m:t>)</m:t>
          </m:r>
        </m:oMath>
      </m:oMathPara>
      <w:bookmarkEnd w:id="28"/>
    </w:p>
    <w:p>
      <w:pPr>
        <w:pStyle w:val="FirstParagraph"/>
      </w:pPr>
      <w:r>
        <w:t xml:space="preserve">Steady does not mean every reading is identical from second to second. Real signals contain noise, pulsation, and operating variation. The statement requires a time window. A tank may appear steady for ten minutes and accumulate over a full shift. The window must be long enough to represent the process and short enough not to combine different regimes.</w:t>
      </w:r>
    </w:p>
    <w:p>
      <w:pPr>
        <w:pStyle w:val="BodyText"/>
      </w:pPr>
      <w:r>
        <w:t xml:space="preserve">A total balance can also be steady while a component remains transient. If 100 kg/h enters and 100 kg/h leaves a vessel, total inventory can be constant. When inlet composition changes, the component accumulates until outlet composition responds. The transient tank case demonstrates this distinction.</w:t>
      </w:r>
    </w:p>
    <w:bookmarkEnd w:id="29"/>
    <w:bookmarkStart w:id="30" w:name="X015f03a697eafad4ae3da49703ca842a1ff40ac"/>
    <w:p>
      <w:pPr>
        <w:pStyle w:val="Heading1"/>
      </w:pPr>
      <w:r>
        <w:t xml:space="preserve">Boundary, calculation basis, and time window</w:t>
      </w:r>
    </w:p>
    <w:p>
      <w:pPr>
        <w:pStyle w:val="FirstParagraph"/>
      </w:pPr>
      <w:r>
        <w:t xml:space="preserve">The</w:t>
      </w:r>
      <w:r>
        <w:t xml:space="preserve"> </w:t>
      </w:r>
      <w:r>
        <w:rPr>
          <w:b/>
          <w:bCs/>
        </w:rPr>
        <w:t xml:space="preserve">calculation basis</w:t>
      </w:r>
      <w:r>
        <w:t xml:space="preserve"> </w:t>
      </w:r>
      <w:r>
        <w:t xml:space="preserve">fixes a reference quantity: 100 kg of feed, one hour of operation, one batch, one mole of reactant, or one production day. It does not change the physics, but it makes quantities comparable and prevents totals from being mixed with rates.</w:t>
      </w:r>
    </w:p>
    <w:p>
      <w:pPr>
        <w:pStyle w:val="BodyText"/>
      </w:pPr>
      <w:r>
        <w:t xml:space="preserve">A useful basis states at least:</w:t>
      </w:r>
    </w:p>
    <w:p>
      <w:pPr>
        <w:pStyle w:val="Compact"/>
        <w:numPr>
          <w:ilvl w:val="0"/>
          <w:numId w:val="1002"/>
        </w:numPr>
      </w:pPr>
      <w:r>
        <w:t xml:space="preserve">the physical boundary;</w:t>
      </w:r>
    </w:p>
    <w:p>
      <w:pPr>
        <w:pStyle w:val="Compact"/>
        <w:numPr>
          <w:ilvl w:val="0"/>
          <w:numId w:val="1002"/>
        </w:numPr>
      </w:pPr>
      <w:r>
        <w:t xml:space="preserve">the time interval or operating regime;</w:t>
      </w:r>
    </w:p>
    <w:p>
      <w:pPr>
        <w:pStyle w:val="Compact"/>
        <w:numPr>
          <w:ilvl w:val="0"/>
          <w:numId w:val="1002"/>
        </w:numPr>
      </w:pPr>
      <w:r>
        <w:t xml:space="preserve">the mass or amount-of-substance unit;</w:t>
      </w:r>
    </w:p>
    <w:p>
      <w:pPr>
        <w:pStyle w:val="Compact"/>
        <w:numPr>
          <w:ilvl w:val="0"/>
          <w:numId w:val="1002"/>
        </w:numPr>
      </w:pPr>
      <w:r>
        <w:t xml:space="preserve">the composition basis—wet, dry, or free of a specified component;</w:t>
      </w:r>
    </w:p>
    <w:p>
      <w:pPr>
        <w:pStyle w:val="Compact"/>
        <w:numPr>
          <w:ilvl w:val="0"/>
          <w:numId w:val="1002"/>
        </w:numPr>
      </w:pPr>
      <w:r>
        <w:t xml:space="preserve">the sign convention;</w:t>
      </w:r>
    </w:p>
    <w:p>
      <w:pPr>
        <w:pStyle w:val="Compact"/>
        <w:numPr>
          <w:ilvl w:val="0"/>
          <w:numId w:val="1002"/>
        </w:numPr>
      </w:pPr>
      <w:r>
        <w:t xml:space="preserve">treatment of initial and final inventories;</w:t>
      </w:r>
    </w:p>
    <w:p>
      <w:pPr>
        <w:pStyle w:val="Compact"/>
        <w:numPr>
          <w:ilvl w:val="0"/>
          <w:numId w:val="1002"/>
        </w:numPr>
      </w:pPr>
      <w:r>
        <w:t xml:space="preserve">precision justified by the measurements.</w:t>
      </w:r>
    </w:p>
    <w:p>
      <w:pPr>
        <w:pStyle w:val="FirstParagraph"/>
      </w:pPr>
      <w:r>
        <w:t xml:space="preserve">Kilograms per batch from a scale cannot be added directly to kilograms per hour from a flowmeter. The flow must first be integrated, or the batch mass divided by a compatible time. A wet-basis feed and dry-basis product require conversion to a common basis before comparison.</w:t>
      </w:r>
    </w:p>
    <w:bookmarkEnd w:id="30"/>
    <w:bookmarkStart w:id="32" w:name="Xd415c84ddd0ceaea337d5d986a3ef0dc3fe319c"/>
    <w:p>
      <w:pPr>
        <w:pStyle w:val="Heading1"/>
      </w:pPr>
      <w:r>
        <w:t xml:space="preserve">Degrees of freedom: can the problem be solved?</w:t>
      </w:r>
    </w:p>
    <w:p>
      <w:pPr>
        <w:pStyle w:val="FirstParagraph"/>
      </w:pPr>
      <w:r>
        <w:rPr>
          <w:b/>
          <w:bCs/>
        </w:rPr>
        <w:t xml:space="preserve">Degrees of freedom</w:t>
      </w:r>
      <w:r>
        <w:t xml:space="preserve"> </w:t>
      </w:r>
      <w:r>
        <w:t xml:space="preserve">(DOF) are the difference between unknowns and independent equations:</w:t>
      </w:r>
    </w:p>
    <w:p>
      <w:pPr>
        <w:pStyle w:val="BodyText"/>
      </w:pPr>
      <w:bookmarkStart w:id="31" w:name="eq-dof"/>
      <m:oMathPara>
        <m:oMathParaPr>
          <m:jc m:val="center"/>
        </m:oMathParaPr>
        <m:oMath>
          <m:sSub>
            <m:e>
              <m:r>
                <m:t>N</m:t>
              </m:r>
            </m:e>
            <m:sub>
              <m:r>
                <m:rPr>
                  <m:sty m:val="p"/>
                </m:rPr>
                <m:t>D</m:t>
              </m:r>
              <m:r>
                <m:rPr>
                  <m:sty m:val="p"/>
                </m:rPr>
                <m:t>O</m:t>
              </m:r>
              <m:r>
                <m:rPr>
                  <m:sty m:val="p"/>
                </m:rPr>
                <m:t>F</m:t>
              </m:r>
            </m:sub>
          </m:sSub>
          <m:r>
            <m:rPr>
              <m:sty m:val="p"/>
            </m:rPr>
            <m:t>=</m:t>
          </m:r>
          <m:sSub>
            <m:e>
              <m:r>
                <m:t>N</m:t>
              </m:r>
            </m:e>
            <m:sub>
              <m:r>
                <m:rPr>
                  <m:sty m:val="p"/>
                </m:rPr>
                <m:t>u</m:t>
              </m:r>
              <m:r>
                <m:rPr>
                  <m:sty m:val="p"/>
                </m:rPr>
                <m:t>n</m:t>
              </m:r>
              <m:r>
                <m:rPr>
                  <m:sty m:val="p"/>
                </m:rPr>
                <m:t>k</m:t>
              </m:r>
              <m:r>
                <m:rPr>
                  <m:sty m:val="p"/>
                </m:rPr>
                <m:t>n</m:t>
              </m:r>
              <m:r>
                <m:rPr>
                  <m:sty m:val="p"/>
                </m:rPr>
                <m:t>o</m:t>
              </m:r>
              <m:r>
                <m:rPr>
                  <m:sty m:val="p"/>
                </m:rPr>
                <m:t>w</m:t>
              </m:r>
              <m:r>
                <m:rPr>
                  <m:sty m:val="p"/>
                </m:rPr>
                <m:t>n</m:t>
              </m:r>
              <m:r>
                <m:rPr>
                  <m:sty m:val="p"/>
                </m:rPr>
                <m:t>s</m:t>
              </m:r>
            </m:sub>
          </m:sSub>
          <m:r>
            <m:rPr>
              <m:sty m:val="p"/>
            </m:rPr>
            <m:t>−</m:t>
          </m:r>
          <m:sSub>
            <m:e>
              <m:r>
                <m:t>N</m:t>
              </m:r>
            </m:e>
            <m:sub>
              <m:r>
                <m:rPr>
                  <m:sty m:val="p"/>
                </m:rPr>
                <m:t>i</m:t>
              </m:r>
              <m:r>
                <m:rPr>
                  <m:sty m:val="p"/>
                </m:rPr>
                <m:t>n</m:t>
              </m:r>
              <m:r>
                <m:rPr>
                  <m:sty m:val="p"/>
                </m:rPr>
                <m:t>d</m:t>
              </m:r>
              <m:r>
                <m:rPr>
                  <m:sty m:val="p"/>
                </m:rPr>
                <m:t>e</m:t>
              </m:r>
              <m:r>
                <m:rPr>
                  <m:sty m:val="p"/>
                </m:rPr>
                <m:t>p</m:t>
              </m:r>
              <m:r>
                <m:rPr>
                  <m:sty m:val="p"/>
                </m:rPr>
                <m:t>e</m:t>
              </m:r>
              <m:r>
                <m:rPr>
                  <m:sty m:val="p"/>
                </m:rPr>
                <m:t>n</m:t>
              </m:r>
              <m:r>
                <m:rPr>
                  <m:sty m:val="p"/>
                </m:rPr>
                <m:t>d</m:t>
              </m:r>
              <m:r>
                <m:rPr>
                  <m:sty m:val="p"/>
                </m:rPr>
                <m:t>e</m:t>
              </m:r>
              <m:r>
                <m:rPr>
                  <m:sty m:val="p"/>
                </m:rPr>
                <m:t>n</m:t>
              </m:r>
              <m:r>
                <m:rPr>
                  <m:sty m:val="p"/>
                </m:rPr>
                <m:t>t</m:t>
              </m:r>
              <m:r>
                <m:rPr>
                  <m:sty m:val="p"/>
                </m:rPr>
                <m:t> </m:t>
              </m:r>
              <m:r>
                <m:rPr>
                  <m:sty m:val="p"/>
                </m:rPr>
                <m:t>e</m:t>
              </m:r>
              <m:r>
                <m:rPr>
                  <m:sty m:val="p"/>
                </m:rPr>
                <m:t>q</m:t>
              </m:r>
              <m:r>
                <m:rPr>
                  <m:sty m:val="p"/>
                </m:rPr>
                <m:t>u</m:t>
              </m:r>
              <m:r>
                <m:rPr>
                  <m:sty m:val="p"/>
                </m:rPr>
                <m:t>a</m:t>
              </m:r>
              <m:r>
                <m:rPr>
                  <m:sty m:val="p"/>
                </m:rPr>
                <m:t>t</m:t>
              </m:r>
              <m:r>
                <m:rPr>
                  <m:sty m:val="p"/>
                </m:rPr>
                <m:t>i</m:t>
              </m:r>
              <m:r>
                <m:rPr>
                  <m:sty m:val="p"/>
                </m:rPr>
                <m:t>o</m:t>
              </m:r>
              <m:r>
                <m:rPr>
                  <m:sty m:val="p"/>
                </m:rPr>
                <m:t>n</m:t>
              </m:r>
              <m:r>
                <m:rPr>
                  <m:sty m:val="p"/>
                </m:rPr>
                <m:t>s</m:t>
              </m:r>
            </m:sub>
          </m:sSub>
          <m:r>
            <m:rPr>
              <m:sty m:val="p"/>
            </m:rPr>
            <m:t>.</m:t>
          </m:r>
          <m:r>
            <m:t>  </m:t>
          </m:r>
          <m:r>
            <m:rPr>
              <m:sty m:val="p"/>
            </m:rPr>
            <m:t>(</m:t>
          </m:r>
          <m:r>
            <m:t>7</m:t>
          </m:r>
          <m:r>
            <m:rPr>
              <m:sty m:val="p"/>
            </m:rPr>
            <m:t>)</m:t>
          </m:r>
        </m:oMath>
      </m:oMathPara>
      <w:bookmarkEnd w:id="31"/>
    </w:p>
    <w:p>
      <w:pPr>
        <w:pStyle w:val="Compact"/>
        <w:numPr>
          <w:ilvl w:val="0"/>
          <w:numId w:val="1003"/>
        </w:numPr>
      </w:pPr>
      <m:oMath>
        <m:sSub>
          <m:e>
            <m:r>
              <m:t>N</m:t>
            </m:r>
          </m:e>
          <m:sub>
            <m:r>
              <m:rPr>
                <m:sty m:val="p"/>
              </m:rPr>
              <m:t>D</m:t>
            </m:r>
            <m:r>
              <m:rPr>
                <m:sty m:val="p"/>
              </m:rPr>
              <m:t>O</m:t>
            </m:r>
            <m:r>
              <m:rPr>
                <m:sty m:val="p"/>
              </m:rPr>
              <m:t>F</m:t>
            </m:r>
          </m:sub>
        </m:sSub>
        <m:r>
          <m:rPr>
            <m:sty m:val="p"/>
          </m:rPr>
          <m:t>=</m:t>
        </m:r>
        <m:r>
          <m:t>0</m:t>
        </m:r>
      </m:oMath>
      <w:r>
        <w:t xml:space="preserve">: exactly specified; a unique solution may exist.</w:t>
      </w:r>
    </w:p>
    <w:p>
      <w:pPr>
        <w:pStyle w:val="Compact"/>
        <w:numPr>
          <w:ilvl w:val="0"/>
          <w:numId w:val="1003"/>
        </w:numPr>
      </w:pPr>
      <m:oMath>
        <m:sSub>
          <m:e>
            <m:r>
              <m:t>N</m:t>
            </m:r>
          </m:e>
          <m:sub>
            <m:r>
              <m:rPr>
                <m:sty m:val="p"/>
              </m:rPr>
              <m:t>D</m:t>
            </m:r>
            <m:r>
              <m:rPr>
                <m:sty m:val="p"/>
              </m:rPr>
              <m:t>O</m:t>
            </m:r>
            <m:r>
              <m:rPr>
                <m:sty m:val="p"/>
              </m:rPr>
              <m:t>F</m:t>
            </m:r>
          </m:sub>
        </m:sSub>
        <m:r>
          <m:rPr>
            <m:sty m:val="p"/>
          </m:rPr>
          <m:t>&gt;</m:t>
        </m:r>
        <m:r>
          <m:t>0</m:t>
        </m:r>
      </m:oMath>
      <w:r>
        <w:t xml:space="preserve">: information is missing; infinitely many solutions are compatible.</w:t>
      </w:r>
    </w:p>
    <w:p>
      <w:pPr>
        <w:pStyle w:val="Compact"/>
        <w:numPr>
          <w:ilvl w:val="0"/>
          <w:numId w:val="1003"/>
        </w:numPr>
      </w:pPr>
      <m:oMath>
        <m:sSub>
          <m:e>
            <m:r>
              <m:t>N</m:t>
            </m:r>
          </m:e>
          <m:sub>
            <m:r>
              <m:rPr>
                <m:sty m:val="p"/>
              </m:rPr>
              <m:t>D</m:t>
            </m:r>
            <m:r>
              <m:rPr>
                <m:sty m:val="p"/>
              </m:rPr>
              <m:t>O</m:t>
            </m:r>
            <m:r>
              <m:rPr>
                <m:sty m:val="p"/>
              </m:rPr>
              <m:t>F</m:t>
            </m:r>
          </m:sub>
        </m:sSub>
        <m:r>
          <m:rPr>
            <m:sty m:val="p"/>
          </m:rPr>
          <m:t>&lt;</m:t>
        </m:r>
        <m:r>
          <m:t>0</m:t>
        </m:r>
      </m:oMath>
      <w:r>
        <w:t xml:space="preserve">: redundancy exists. This is useful for validation and reconciliation, although imperfect measurements will not satisfy all equations exactly.</w:t>
      </w:r>
    </w:p>
    <w:p>
      <w:pPr>
        <w:pStyle w:val="FirstParagraph"/>
      </w:pPr>
      <w:r>
        <w:t xml:space="preserve">Merely counting written equations is insufficient. Two equations may be algebraically dependent. In a binary system, the total balance plus both component balances do not always provide three independent equations because the two component balances sum to the total balance.</w:t>
      </w:r>
    </w:p>
    <w:tbl>
      <w:tblPr>
        <w:tblStyle w:val="Table"/>
        <w:tblW w:type="pct" w:w="5000"/>
        <w:tblLayout w:type="fixed"/>
        <w:tblLook w:firstRow="1" w:lastRow="0" w:firstColumn="0" w:lastColumn="0" w:noHBand="0" w:noVBand="0" w:val="0020"/>
      </w:tblPr>
      <w:tblGrid>
        <w:gridCol w:w="1320"/>
        <w:gridCol w:w="1760"/>
        <w:gridCol w:w="1760"/>
        <w:gridCol w:w="1760"/>
        <w:gridCol w:w="1320"/>
      </w:tblGrid>
      <w:tr>
        <w:trPr>
          <w:tblHeader w:val="on"/>
        </w:trPr>
        <w:tc>
          <w:tcPr/>
          <w:p>
            <w:pPr>
              <w:pStyle w:val="Compact"/>
            </w:pPr>
            <w:r>
              <w:t xml:space="preserve">Situation</w:t>
            </w:r>
          </w:p>
        </w:tc>
        <w:tc>
          <w:tcPr/>
          <w:p>
            <w:pPr>
              <w:pStyle w:val="Compact"/>
              <w:jc w:val="right"/>
            </w:pPr>
            <w:r>
              <w:t xml:space="preserve">Unknowns</w:t>
            </w:r>
          </w:p>
        </w:tc>
        <w:tc>
          <w:tcPr/>
          <w:p>
            <w:pPr>
              <w:pStyle w:val="Compact"/>
              <w:jc w:val="right"/>
            </w:pPr>
            <w:r>
              <w:t xml:space="preserve">Independent relations</w:t>
            </w:r>
          </w:p>
        </w:tc>
        <w:tc>
          <w:tcPr/>
          <w:p>
            <w:pPr>
              <w:pStyle w:val="Compact"/>
              <w:jc w:val="right"/>
            </w:pPr>
            <w:r>
              <w:t xml:space="preserve">DOF</w:t>
            </w:r>
          </w:p>
        </w:tc>
        <w:tc>
          <w:tcPr/>
          <w:p>
            <w:pPr>
              <w:pStyle w:val="Compact"/>
            </w:pPr>
            <w:r>
              <w:t xml:space="preserve">Interpretation</w:t>
            </w:r>
          </w:p>
        </w:tc>
      </w:tr>
      <w:tr>
        <w:tc>
          <w:tcPr/>
          <w:p>
            <w:pPr>
              <w:pStyle w:val="Compact"/>
            </w:pPr>
            <w:r>
              <w:t xml:space="preserve">Separator with known compositions</w:t>
            </w:r>
          </w:p>
        </w:tc>
        <w:tc>
          <w:tcPr/>
          <w:p>
            <w:pPr>
              <w:pStyle w:val="Compact"/>
              <w:jc w:val="right"/>
            </w:pPr>
            <m:oMath>
              <m:r>
                <m:t>P</m:t>
              </m:r>
              <m:r>
                <m:rPr>
                  <m:sty m:val="p"/>
                </m:rPr>
                <m:t>,</m:t>
              </m:r>
              <m:r>
                <m:t>L</m:t>
              </m:r>
            </m:oMath>
            <w:r>
              <w:t xml:space="preserve">​</w:t>
            </w:r>
          </w:p>
        </w:tc>
        <w:tc>
          <w:tcPr/>
          <w:p>
            <w:pPr>
              <w:pStyle w:val="Compact"/>
              <w:jc w:val="right"/>
            </w:pPr>
            <w:r>
              <w:t xml:space="preserve">total + solids balances</w:t>
            </w:r>
          </w:p>
        </w:tc>
        <w:tc>
          <w:tcPr/>
          <w:p>
            <w:pPr>
              <w:pStyle w:val="Compact"/>
              <w:jc w:val="right"/>
            </w:pPr>
            <w:r>
              <w:t xml:space="preserve">0</w:t>
            </w:r>
          </w:p>
        </w:tc>
        <w:tc>
          <w:tcPr/>
          <w:p>
            <w:pPr>
              <w:pStyle w:val="Compact"/>
            </w:pPr>
            <w:r>
              <w:t xml:space="preserve">solvable</w:t>
            </w:r>
          </w:p>
        </w:tc>
      </w:tr>
      <w:tr>
        <w:tc>
          <w:tcPr/>
          <w:p>
            <w:pPr>
              <w:pStyle w:val="Compact"/>
            </w:pPr>
            <w:r>
              <w:t xml:space="preserve">Separator without product composition</w:t>
            </w:r>
          </w:p>
        </w:tc>
        <w:tc>
          <w:tcPr/>
          <w:p>
            <w:pPr>
              <w:pStyle w:val="Compact"/>
              <w:jc w:val="right"/>
            </w:pPr>
            <m:oMath>
              <m:r>
                <m:t>P</m:t>
              </m:r>
              <m:r>
                <m:rPr>
                  <m:sty m:val="p"/>
                </m:rPr>
                <m:t>,</m:t>
              </m:r>
              <m:r>
                <m:t>L</m:t>
              </m:r>
              <m:r>
                <m:rPr>
                  <m:sty m:val="p"/>
                </m:rPr>
                <m:t>,</m:t>
              </m:r>
              <m:sSub>
                <m:e>
                  <m:r>
                    <m:t>x</m:t>
                  </m:r>
                </m:e>
                <m:sub>
                  <m:r>
                    <m:t>P</m:t>
                  </m:r>
                </m:sub>
              </m:sSub>
            </m:oMath>
            <w:r>
              <w:t xml:space="preserve">​</w:t>
            </w:r>
          </w:p>
        </w:tc>
        <w:tc>
          <w:tcPr/>
          <w:p>
            <w:pPr>
              <w:pStyle w:val="Compact"/>
              <w:jc w:val="right"/>
            </w:pPr>
            <w:r>
              <w:t xml:space="preserve">two balances</w:t>
            </w:r>
          </w:p>
        </w:tc>
        <w:tc>
          <w:tcPr/>
          <w:p>
            <w:pPr>
              <w:pStyle w:val="Compact"/>
              <w:jc w:val="right"/>
            </w:pPr>
            <w:r>
              <w:t xml:space="preserve">1</w:t>
            </w:r>
          </w:p>
        </w:tc>
        <w:tc>
          <w:tcPr/>
          <w:p>
            <w:pPr>
              <w:pStyle w:val="Compact"/>
            </w:pPr>
            <w:r>
              <w:t xml:space="preserve">one specification missing</w:t>
            </w:r>
          </w:p>
        </w:tc>
      </w:tr>
      <w:tr>
        <w:tc>
          <w:tcPr/>
          <w:p>
            <w:pPr>
              <w:pStyle w:val="Compact"/>
            </w:pPr>
            <w:r>
              <w:t xml:space="preserve">Three measured flows and one balance</w:t>
            </w:r>
          </w:p>
        </w:tc>
        <w:tc>
          <w:tcPr/>
          <w:p>
            <w:pPr>
              <w:pStyle w:val="Compact"/>
              <w:jc w:val="right"/>
            </w:pPr>
            <w:r>
              <w:t xml:space="preserve">no classical unknowns, 3 measurements</w:t>
            </w:r>
          </w:p>
        </w:tc>
        <w:tc>
          <w:tcPr/>
          <w:p>
            <w:pPr>
              <w:pStyle w:val="Compact"/>
              <w:jc w:val="right"/>
            </w:pPr>
            <w:r>
              <w:t xml:space="preserve">one constraint</w:t>
            </w:r>
          </w:p>
        </w:tc>
        <w:tc>
          <w:tcPr/>
          <w:p>
            <w:pPr>
              <w:pStyle w:val="Compact"/>
              <w:jc w:val="right"/>
            </w:pPr>
            <w:r>
              <w:t xml:space="preserve">redundant</w:t>
            </w:r>
          </w:p>
        </w:tc>
        <w:tc>
          <w:tcPr/>
          <w:p>
            <w:pPr>
              <w:pStyle w:val="Compact"/>
            </w:pPr>
            <w:r>
              <w:t xml:space="preserve">closure can be tested</w:t>
            </w:r>
          </w:p>
        </w:tc>
      </w:tr>
    </w:tbl>
    <w:bookmarkEnd w:id="32"/>
    <w:bookmarkStart w:id="42" w:name="worked-case-i-solids-separation"/>
    <w:p>
      <w:pPr>
        <w:pStyle w:val="Heading1"/>
      </w:pPr>
      <w:r>
        <w:t xml:space="preserve">Worked case I: solids separation</w:t>
      </w:r>
    </w:p>
    <w:bookmarkStart w:id="40" w:name="definition-and-solution"/>
    <w:p>
      <w:pPr>
        <w:pStyle w:val="Heading2"/>
      </w:pPr>
      <w:r>
        <w:t xml:space="preserve">Definition and solution</w:t>
      </w:r>
    </w:p>
    <w:p>
      <w:pPr>
        <w:pStyle w:val="FirstParagraph"/>
      </w:pPr>
      <w:r>
        <w:t xml:space="preserve">Consider a pedagogical, nonreactive separator at steady state. Feed is</w:t>
      </w:r>
      <w:r>
        <w:t xml:space="preserve"> </w:t>
      </w:r>
      <m:oMath>
        <m:r>
          <m:t>F</m:t>
        </m:r>
        <m:r>
          <m:rPr>
            <m:sty m:val="p"/>
          </m:rPr>
          <m:t>=</m:t>
        </m:r>
        <m:r>
          <m:t>1000</m:t>
        </m:r>
        <m:r>
          <m:t> </m:t>
        </m:r>
        <m:r>
          <m:rPr>
            <m:sty m:val="p"/>
          </m:rPr>
          <m:t>k</m:t>
        </m:r>
        <m:r>
          <m:rPr>
            <m:sty m:val="p"/>
          </m:rPr>
          <m:t>g</m:t>
        </m:r>
        <m:r>
          <m:rPr>
            <m:sty m:val="p"/>
          </m:rPr>
          <m:t>/</m:t>
        </m:r>
        <m:r>
          <m:rPr>
            <m:sty m:val="p"/>
          </m:rPr>
          <m:t>h</m:t>
        </m:r>
      </m:oMath>
      <w:r>
        <w:t xml:space="preserve"> </w:t>
      </w:r>
      <w:r>
        <w:t xml:space="preserve">with solids mass fraction</w:t>
      </w:r>
      <w:r>
        <w:t xml:space="preserve"> </w:t>
      </w:r>
      <m:oMath>
        <m:sSub>
          <m:e>
            <m:r>
              <m:t>x</m:t>
            </m:r>
          </m:e>
          <m:sub>
            <m:r>
              <m:t>F</m:t>
            </m:r>
          </m:sub>
        </m:sSub>
        <m:r>
          <m:rPr>
            <m:sty m:val="p"/>
          </m:rPr>
          <m:t>=</m:t>
        </m:r>
        <m:r>
          <m:t>0.12</m:t>
        </m:r>
      </m:oMath>
      <w:r>
        <w:t xml:space="preserve">. It produces a concentrate at</w:t>
      </w:r>
      <w:r>
        <w:t xml:space="preserve"> </w:t>
      </w:r>
      <m:oMath>
        <m:sSub>
          <m:e>
            <m:r>
              <m:t>x</m:t>
            </m:r>
          </m:e>
          <m:sub>
            <m:r>
              <m:t>P</m:t>
            </m:r>
          </m:sub>
        </m:sSub>
        <m:r>
          <m:rPr>
            <m:sty m:val="p"/>
          </m:rPr>
          <m:t>=</m:t>
        </m:r>
        <m:r>
          <m:t>0.30</m:t>
        </m:r>
      </m:oMath>
      <w:r>
        <w:t xml:space="preserve"> </w:t>
      </w:r>
      <w:r>
        <w:t xml:space="preserve">and a liquid stream at</w:t>
      </w:r>
      <w:r>
        <w:t xml:space="preserve"> </w:t>
      </w:r>
      <m:oMath>
        <m:sSub>
          <m:e>
            <m:r>
              <m:t>x</m:t>
            </m:r>
          </m:e>
          <m:sub>
            <m:r>
              <m:t>L</m:t>
            </m:r>
          </m:sub>
        </m:sSub>
        <m:r>
          <m:rPr>
            <m:sty m:val="p"/>
          </m:rPr>
          <m:t>=</m:t>
        </m:r>
        <m:r>
          <m:t>0.02</m:t>
        </m:r>
      </m:oMath>
      <w:r>
        <w:t xml:space="preserve">.</w:t>
      </w:r>
    </w:p>
    <w:tbl>
      <w:tblPr>
        <w:tblStyle w:val="Table"/>
        <w:tblW w:type="pct" w:w="5000"/>
        <w:tblLayout w:type="fixed"/>
        <w:tblLook w:firstRow="0" w:lastRow="0" w:firstColumn="0" w:lastColumn="0" w:noHBand="0" w:noVBand="0" w:val="0000"/>
      </w:tblPr>
      <w:tblGrid>
        <w:gridCol w:w="7920"/>
      </w:tblGrid>
      <w:tr>
        <w:tc>
          <w:tcPr/>
          <w:bookmarkStart w:id="36" w:name="fig-separator"/>
          <w:p>
            <w:pPr>
              <w:pStyle w:val="Compact"/>
              <w:jc w:val="center"/>
            </w:pPr>
            <w:r>
              <w:drawing>
                <wp:inline>
                  <wp:extent cx="5067300" cy="2750281"/>
                  <wp:effectExtent b="0" l="0" r="0" t="0"/>
                  <wp:docPr descr="" title="" id="34" name="Picture"/>
                  <a:graphic>
                    <a:graphicData uri="http://schemas.openxmlformats.org/drawingml/2006/picture">
                      <pic:pic>
                        <pic:nvPicPr>
                          <pic:cNvPr descr="../../../assets/NS-SBTP-PSF-001-v2.0/fig02_separator_case.png" id="35" name="Picture"/>
                          <pic:cNvPicPr>
                            <a:picLocks noChangeArrowheads="1" noChangeAspect="1"/>
                          </pic:cNvPicPr>
                        </pic:nvPicPr>
                        <pic:blipFill>
                          <a:blip r:embed="rId33"/>
                          <a:stretch>
                            <a:fillRect/>
                          </a:stretch>
                        </pic:blipFill>
                        <pic:spPr bwMode="auto">
                          <a:xfrm>
                            <a:off x="0" y="0"/>
                            <a:ext cx="5067300" cy="2750281"/>
                          </a:xfrm>
                          <a:prstGeom prst="rect">
                            <a:avLst/>
                          </a:prstGeom>
                          <a:noFill/>
                          <a:ln w="9525">
                            <a:noFill/>
                            <a:headEnd/>
                            <a:tailEnd/>
                          </a:ln>
                        </pic:spPr>
                      </pic:pic>
                    </a:graphicData>
                  </a:graphic>
                </wp:inline>
              </w:drawing>
            </w:r>
          </w:p>
          <w:p>
            <w:pPr>
              <w:jc w:val="center"/>
            </w:pPr>
            <w:pPr>
              <w:jc w:val="left"/>
              <w:spacing w:before="200"/>
              <w:pStyle w:val="ImageCaption"/>
            </w:pPr>
            <w:r>
              <w:t xml:space="preserve">Figure 2: Base separation case. Values come from deterministic balances and do not represent plant data.</w:t>
            </w:r>
          </w:p>
          <w:bookmarkEnd w:id="36"/>
        </w:tc>
      </w:tr>
    </w:tbl>
    <w:p>
      <w:pPr>
        <w:pStyle w:val="BodyText"/>
      </w:pPr>
      <w:r>
        <w:t xml:space="preserve">The independent balances are:</w:t>
      </w:r>
    </w:p>
    <w:p>
      <w:pPr>
        <w:pStyle w:val="BodyText"/>
      </w:pPr>
      <w:bookmarkStart w:id="37" w:name="eq-separator-total"/>
      <m:oMathPara>
        <m:oMathParaPr>
          <m:jc m:val="center"/>
        </m:oMathParaPr>
        <m:oMath>
          <m:r>
            <m:t>F</m:t>
          </m:r>
          <m:r>
            <m:rPr>
              <m:sty m:val="p"/>
            </m:rPr>
            <m:t>=</m:t>
          </m:r>
          <m:r>
            <m:t>P</m:t>
          </m:r>
          <m:r>
            <m:rPr>
              <m:sty m:val="p"/>
            </m:rPr>
            <m:t>+</m:t>
          </m:r>
          <m:r>
            <m:t>L</m:t>
          </m:r>
          <m:r>
            <m:rPr>
              <m:sty m:val="p"/>
            </m:rPr>
            <m:t>,</m:t>
          </m:r>
          <m:r>
            <m:t>  </m:t>
          </m:r>
          <m:r>
            <m:rPr>
              <m:sty m:val="p"/>
            </m:rPr>
            <m:t>(</m:t>
          </m:r>
          <m:r>
            <m:t>8</m:t>
          </m:r>
          <m:r>
            <m:rPr>
              <m:sty m:val="p"/>
            </m:rPr>
            <m:t>)</m:t>
          </m:r>
        </m:oMath>
      </m:oMathPara>
      <w:bookmarkEnd w:id="37"/>
    </w:p>
    <w:p>
      <w:pPr>
        <w:pStyle w:val="FirstParagraph"/>
      </w:pPr>
      <w:bookmarkStart w:id="38" w:name="eq-separator-solids"/>
      <m:oMathPara>
        <m:oMathParaPr>
          <m:jc m:val="center"/>
        </m:oMathParaPr>
        <m:oMath>
          <m:r>
            <m:t>F</m:t>
          </m:r>
          <m:sSub>
            <m:e>
              <m:r>
                <m:t>x</m:t>
              </m:r>
            </m:e>
            <m:sub>
              <m:r>
                <m:t>F</m:t>
              </m:r>
            </m:sub>
          </m:sSub>
          <m:r>
            <m:rPr>
              <m:sty m:val="p"/>
            </m:rPr>
            <m:t>=</m:t>
          </m:r>
          <m:r>
            <m:t>P</m:t>
          </m:r>
          <m:sSub>
            <m:e>
              <m:r>
                <m:t>x</m:t>
              </m:r>
            </m:e>
            <m:sub>
              <m:r>
                <m:t>P</m:t>
              </m:r>
            </m:sub>
          </m:sSub>
          <m:r>
            <m:rPr>
              <m:sty m:val="p"/>
            </m:rPr>
            <m:t>+</m:t>
          </m:r>
          <m:r>
            <m:t>L</m:t>
          </m:r>
          <m:sSub>
            <m:e>
              <m:r>
                <m:t>x</m:t>
              </m:r>
            </m:e>
            <m:sub>
              <m:r>
                <m:t>L</m:t>
              </m:r>
            </m:sub>
          </m:sSub>
          <m:r>
            <m:rPr>
              <m:sty m:val="p"/>
            </m:rPr>
            <m:t>.</m:t>
          </m:r>
          <m:r>
            <m:t>  </m:t>
          </m:r>
          <m:r>
            <m:rPr>
              <m:sty m:val="p"/>
            </m:rPr>
            <m:t>(</m:t>
          </m:r>
          <m:r>
            <m:t>9</m:t>
          </m:r>
          <m:r>
            <m:rPr>
              <m:sty m:val="p"/>
            </m:rPr>
            <m:t>)</m:t>
          </m:r>
        </m:oMath>
      </m:oMathPara>
      <w:bookmarkEnd w:id="38"/>
    </w:p>
    <w:p>
      <w:pPr>
        <w:pStyle w:val="FirstParagraph"/>
      </w:pPr>
      <w:r>
        <w:t xml:space="preserve">Substituting</w:t>
      </w:r>
      <w:r>
        <w:t xml:space="preserve"> </w:t>
      </w:r>
      <m:oMath>
        <m:r>
          <m:t>L</m:t>
        </m:r>
        <m:r>
          <m:rPr>
            <m:sty m:val="p"/>
          </m:rPr>
          <m:t>=</m:t>
        </m:r>
        <m:r>
          <m:t>F</m:t>
        </m:r>
        <m:r>
          <m:rPr>
            <m:sty m:val="p"/>
          </m:rPr>
          <m:t>−</m:t>
        </m:r>
        <m:r>
          <m:t>P</m:t>
        </m:r>
      </m:oMath>
      <w:r>
        <w:t xml:space="preserve"> </w:t>
      </w:r>
      <w:r>
        <w:t xml:space="preserve">into</w:t>
      </w:r>
      <w:r>
        <w:t xml:space="preserve"> </w:t>
      </w:r>
      <w:hyperlink w:anchor="eq-separator-solids">
        <w:r>
          <w:rPr>
            <w:rStyle w:val="Hyperlink"/>
          </w:rPr>
          <w:t xml:space="preserve">Equation 9</w:t>
        </w:r>
      </w:hyperlink>
      <w:r>
        <w:t xml:space="preserve"> </w:t>
      </w:r>
      <w:r>
        <w:t xml:space="preserve">gives:</w:t>
      </w:r>
    </w:p>
    <w:p>
      <w:pPr>
        <w:pStyle w:val="BodyText"/>
      </w:pPr>
      <w:bookmarkStart w:id="39" w:name="eq-separator-solution"/>
      <m:oMathPara>
        <m:oMathParaPr>
          <m:jc m:val="center"/>
        </m:oMathParaPr>
        <m:oMath>
          <m:r>
            <m:t>P</m:t>
          </m:r>
          <m:r>
            <m:rPr>
              <m:sty m:val="p"/>
            </m:rPr>
            <m:t>=</m:t>
          </m:r>
          <m:r>
            <m:t>F</m:t>
          </m:r>
          <m:f>
            <m:fPr>
              <m:type m:val="bar"/>
            </m:fPr>
            <m:num>
              <m:sSub>
                <m:e>
                  <m:r>
                    <m:t>x</m:t>
                  </m:r>
                </m:e>
                <m:sub>
                  <m:r>
                    <m:t>F</m:t>
                  </m:r>
                </m:sub>
              </m:sSub>
              <m:r>
                <m:rPr>
                  <m:sty m:val="p"/>
                </m:rPr>
                <m:t>−</m:t>
              </m:r>
              <m:sSub>
                <m:e>
                  <m:r>
                    <m:t>x</m:t>
                  </m:r>
                </m:e>
                <m:sub>
                  <m:r>
                    <m:t>L</m:t>
                  </m:r>
                </m:sub>
              </m:sSub>
            </m:num>
            <m:den>
              <m:sSub>
                <m:e>
                  <m:r>
                    <m:t>x</m:t>
                  </m:r>
                </m:e>
                <m:sub>
                  <m:r>
                    <m:t>P</m:t>
                  </m:r>
                </m:sub>
              </m:sSub>
              <m:r>
                <m:rPr>
                  <m:sty m:val="p"/>
                </m:rPr>
                <m:t>−</m:t>
              </m:r>
              <m:sSub>
                <m:e>
                  <m:r>
                    <m:t>x</m:t>
                  </m:r>
                </m:e>
                <m:sub>
                  <m:r>
                    <m:t>L</m:t>
                  </m:r>
                </m:sub>
              </m:sSub>
            </m:den>
          </m:f>
          <m:r>
            <m:rPr>
              <m:sty m:val="p"/>
            </m:rPr>
            <m:t>,</m:t>
          </m:r>
          <m:r>
            <m:t>  </m:t>
          </m:r>
          <m:r>
            <m:t>L</m:t>
          </m:r>
          <m:r>
            <m:rPr>
              <m:sty m:val="p"/>
            </m:rPr>
            <m:t>=</m:t>
          </m:r>
          <m:r>
            <m:t>F</m:t>
          </m:r>
          <m:r>
            <m:rPr>
              <m:sty m:val="p"/>
            </m:rPr>
            <m:t>−</m:t>
          </m:r>
          <m:r>
            <m:t>P</m:t>
          </m:r>
          <m:r>
            <m:rPr>
              <m:sty m:val="p"/>
            </m:rPr>
            <m:t>.</m:t>
          </m:r>
          <m:r>
            <m:t>  </m:t>
          </m:r>
          <m:r>
            <m:rPr>
              <m:sty m:val="p"/>
            </m:rPr>
            <m:t>(</m:t>
          </m:r>
          <m:r>
            <m:t>10</m:t>
          </m:r>
          <m:r>
            <m:rPr>
              <m:sty m:val="p"/>
            </m:rPr>
            <m:t>)</m:t>
          </m:r>
        </m:oMath>
      </m:oMathPara>
      <w:bookmarkEnd w:id="39"/>
    </w:p>
    <w:p>
      <w:pPr>
        <w:pStyle w:val="FirstParagraph"/>
      </w:pPr>
      <w:r>
        <w:t xml:space="preserve">For the case values:</w:t>
      </w:r>
    </w:p>
    <w:p>
      <w:pPr>
        <w:pStyle w:val="BodyText"/>
      </w:pPr>
      <m:oMathPara>
        <m:oMathParaPr>
          <m:jc m:val="center"/>
        </m:oMathParaPr>
        <m:oMath>
          <m:r>
            <m:t>P</m:t>
          </m:r>
          <m:r>
            <m:rPr>
              <m:sty m:val="p"/>
            </m:rPr>
            <m:t>=</m:t>
          </m:r>
          <m:r>
            <m:t>1000</m:t>
          </m:r>
          <m:f>
            <m:fPr>
              <m:type m:val="bar"/>
            </m:fPr>
            <m:num>
              <m:r>
                <m:t>0.12</m:t>
              </m:r>
              <m:r>
                <m:rPr>
                  <m:sty m:val="p"/>
                </m:rPr>
                <m:t>−</m:t>
              </m:r>
              <m:r>
                <m:t>0.02</m:t>
              </m:r>
            </m:num>
            <m:den>
              <m:r>
                <m:t>0.30</m:t>
              </m:r>
              <m:r>
                <m:rPr>
                  <m:sty m:val="p"/>
                </m:rPr>
                <m:t>−</m:t>
              </m:r>
              <m:r>
                <m:t>0.02</m:t>
              </m:r>
            </m:den>
          </m:f>
          <m:r>
            <m:rPr>
              <m:sty m:val="p"/>
            </m:rPr>
            <m:t>=</m:t>
          </m:r>
          <m:r>
            <m:t>357.1429</m:t>
          </m:r>
          <m:r>
            <m:t> </m:t>
          </m:r>
          <m:r>
            <m:rPr>
              <m:sty m:val="p"/>
            </m:rPr>
            <m:t>k</m:t>
          </m:r>
          <m:r>
            <m:rPr>
              <m:sty m:val="p"/>
            </m:rPr>
            <m:t>g</m:t>
          </m:r>
          <m:r>
            <m:rPr>
              <m:sty m:val="p"/>
            </m:rPr>
            <m:t>/</m:t>
          </m:r>
          <m:r>
            <m:rPr>
              <m:sty m:val="p"/>
            </m:rPr>
            <m:t>h</m:t>
          </m:r>
          <m:r>
            <m:rPr>
              <m:sty m:val="p"/>
            </m:rPr>
            <m:t>,</m:t>
          </m:r>
        </m:oMath>
      </m:oMathPara>
    </w:p>
    <w:p>
      <w:pPr>
        <w:pStyle w:val="FirstParagraph"/>
      </w:pPr>
      <m:oMathPara>
        <m:oMathParaPr>
          <m:jc m:val="center"/>
        </m:oMathParaPr>
        <m:oMath>
          <m:r>
            <m:t>L</m:t>
          </m:r>
          <m:r>
            <m:rPr>
              <m:sty m:val="p"/>
            </m:rPr>
            <m:t>=</m:t>
          </m:r>
          <m:r>
            <m:t>1000</m:t>
          </m:r>
          <m:r>
            <m:rPr>
              <m:sty m:val="p"/>
            </m:rPr>
            <m:t>−</m:t>
          </m:r>
          <m:r>
            <m:t>357.1429</m:t>
          </m:r>
          <m:r>
            <m:rPr>
              <m:sty m:val="p"/>
            </m:rPr>
            <m:t>=</m:t>
          </m:r>
          <m:r>
            <m:t>642.8571</m:t>
          </m:r>
          <m:r>
            <m:t> </m:t>
          </m:r>
          <m:r>
            <m:rPr>
              <m:sty m:val="p"/>
            </m:rPr>
            <m:t>k</m:t>
          </m:r>
          <m:r>
            <m:rPr>
              <m:sty m:val="p"/>
            </m:rPr>
            <m:t>g</m:t>
          </m:r>
          <m:r>
            <m:rPr>
              <m:sty m:val="p"/>
            </m:rPr>
            <m:t>/</m:t>
          </m:r>
          <m:r>
            <m:rPr>
              <m:sty m:val="p"/>
            </m:rPr>
            <m:t>h</m:t>
          </m:r>
          <m:r>
            <m:rPr>
              <m:sty m:val="p"/>
            </m:rPr>
            <m:t>.</m:t>
          </m:r>
        </m:oMath>
      </m:oMathPara>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Check</w:t>
            </w:r>
          </w:p>
        </w:tc>
        <w:tc>
          <w:tcPr/>
          <w:p>
            <w:pPr>
              <w:pStyle w:val="Compact"/>
              <w:jc w:val="right"/>
            </w:pPr>
            <w:r>
              <w:t xml:space="preserve">Input (kg/h)</w:t>
            </w:r>
          </w:p>
        </w:tc>
        <w:tc>
          <w:tcPr/>
          <w:p>
            <w:pPr>
              <w:pStyle w:val="Compact"/>
              <w:jc w:val="right"/>
            </w:pPr>
            <w:r>
              <w:t xml:space="preserve">Outputs (kg/h)</w:t>
            </w:r>
          </w:p>
        </w:tc>
        <w:tc>
          <w:tcPr/>
          <w:p>
            <w:pPr>
              <w:pStyle w:val="Compact"/>
              <w:jc w:val="right"/>
            </w:pPr>
            <w:r>
              <w:t xml:space="preserve">Residual (kg/h)</w:t>
            </w:r>
          </w:p>
        </w:tc>
      </w:tr>
      <w:tr>
        <w:tc>
          <w:tcPr/>
          <w:p>
            <w:pPr>
              <w:pStyle w:val="Compact"/>
            </w:pPr>
            <w:r>
              <w:t xml:space="preserve">Total mass</w:t>
            </w:r>
          </w:p>
        </w:tc>
        <w:tc>
          <w:tcPr/>
          <w:p>
            <w:pPr>
              <w:pStyle w:val="Compact"/>
              <w:jc w:val="right"/>
            </w:pPr>
            <w:r>
              <w:t xml:space="preserve">1000.0000</w:t>
            </w:r>
          </w:p>
        </w:tc>
        <w:tc>
          <w:tcPr/>
          <w:p>
            <w:pPr>
              <w:pStyle w:val="Compact"/>
              <w:jc w:val="right"/>
            </w:pPr>
            <w:r>
              <w:t xml:space="preserve">357.1429 + 642.8571</w:t>
            </w:r>
          </w:p>
        </w:tc>
        <w:tc>
          <w:tcPr/>
          <w:p>
            <w:pPr>
              <w:pStyle w:val="Compact"/>
              <w:jc w:val="right"/>
            </w:pPr>
            <w:r>
              <w:t xml:space="preserve">0.0000</w:t>
            </w:r>
          </w:p>
        </w:tc>
      </w:tr>
      <w:tr>
        <w:tc>
          <w:tcPr/>
          <w:p>
            <w:pPr>
              <w:pStyle w:val="Compact"/>
            </w:pPr>
            <w:r>
              <w:t xml:space="preserve">Solids</w:t>
            </w:r>
          </w:p>
        </w:tc>
        <w:tc>
          <w:tcPr/>
          <w:p>
            <w:pPr>
              <w:pStyle w:val="Compact"/>
              <w:jc w:val="right"/>
            </w:pPr>
            <w:r>
              <w:t xml:space="preserve">120.0000</w:t>
            </w:r>
          </w:p>
        </w:tc>
        <w:tc>
          <w:tcPr/>
          <w:p>
            <w:pPr>
              <w:pStyle w:val="Compact"/>
              <w:jc w:val="right"/>
            </w:pPr>
            <w:r>
              <w:t xml:space="preserve">107.1429 + 12.8571</w:t>
            </w:r>
          </w:p>
        </w:tc>
        <w:tc>
          <w:tcPr/>
          <w:p>
            <w:pPr>
              <w:pStyle w:val="Compact"/>
              <w:jc w:val="right"/>
            </w:pPr>
            <w:r>
              <w:t xml:space="preserve">0.0000</w:t>
            </w:r>
          </w:p>
        </w:tc>
      </w:tr>
    </w:tbl>
    <w:p>
      <w:pPr>
        <w:pStyle w:val="BodyText"/>
      </w:pPr>
      <w:r>
        <w:t xml:space="preserve">The second row matters as much as the first. Flows can close in total mass and fail in solids if compositions are wrong, if retained solids are omitted from inventory, or if samples do not represent the same period.</w:t>
      </w:r>
    </w:p>
    <w:bookmarkEnd w:id="40"/>
    <w:bookmarkStart w:id="41" w:name="validity-conditions"/>
    <w:p>
      <w:pPr>
        <w:pStyle w:val="Heading2"/>
      </w:pPr>
      <w:r>
        <w:t xml:space="preserve">Validity conditions</w:t>
      </w:r>
    </w:p>
    <w:p>
      <w:pPr>
        <w:pStyle w:val="FirstParagraph"/>
      </w:pPr>
      <w:r>
        <w:t xml:space="preserve">The solution assumes steady state, exactly two outlets, no reaction, representative compositions, and a common time basis. If material accumulates inside the separator, inventory change belongs in the balance. If some solids remain held up, they are not a loss while they remain inside the boundary; they are accumulation. They become an outlet when discharged or a loss when crossing an unmeasured boundary.</w:t>
      </w:r>
    </w:p>
    <w:p>
      <w:pPr>
        <w:pStyle w:val="BodyText"/>
      </w:pPr>
      <w:hyperlink w:anchor="eq-separator-solution">
        <w:r>
          <w:rPr>
            <w:rStyle w:val="Hyperlink"/>
          </w:rPr>
          <w:t xml:space="preserve">Equation 10</w:t>
        </w:r>
      </w:hyperlink>
      <w:r>
        <w:t xml:space="preserve"> </w:t>
      </w:r>
      <w:r>
        <w:t xml:space="preserve">exposes a limiting case. If</w:t>
      </w:r>
      <w:r>
        <w:t xml:space="preserve"> </w:t>
      </w:r>
      <m:oMath>
        <m:sSub>
          <m:e>
            <m:r>
              <m:t>x</m:t>
            </m:r>
          </m:e>
          <m:sub>
            <m:r>
              <m:t>P</m:t>
            </m:r>
          </m:sub>
        </m:sSub>
        <m:r>
          <m:rPr>
            <m:sty m:val="p"/>
          </m:rPr>
          <m:t>=</m:t>
        </m:r>
        <m:sSub>
          <m:e>
            <m:r>
              <m:t>x</m:t>
            </m:r>
          </m:e>
          <m:sub>
            <m:r>
              <m:t>L</m:t>
            </m:r>
          </m:sub>
        </m:sSub>
      </m:oMath>
      <w:r>
        <w:t xml:space="preserve">, the denominator is zero. Physically, products of equal composition provide no separation, and the balances cannot determine how total flow is split. A mathematical singularity may therefore be a physical warning rather than an algebraic defect.</w:t>
      </w:r>
    </w:p>
    <w:bookmarkEnd w:id="41"/>
    <w:bookmarkEnd w:id="42"/>
    <w:bookmarkStart w:id="48" w:name="sensitivity-an-answer-is-not-immutable"/>
    <w:p>
      <w:pPr>
        <w:pStyle w:val="Heading1"/>
      </w:pPr>
      <w:r>
        <w:t xml:space="preserve">Sensitivity: an answer is not immutable</w:t>
      </w:r>
    </w:p>
    <w:p>
      <w:pPr>
        <w:pStyle w:val="FirstParagraph"/>
      </w:pPr>
      <w:r>
        <w:t xml:space="preserve">The calculated flow</w:t>
      </w:r>
      <w:r>
        <w:t xml:space="preserve"> </w:t>
      </w:r>
      <m:oMath>
        <m:r>
          <m:t>P</m:t>
        </m:r>
      </m:oMath>
      <w:r>
        <w:t xml:space="preserve"> </w:t>
      </w:r>
      <w:r>
        <w:t xml:space="preserve">depends on three compositions. Its local derivatives are:</w:t>
      </w:r>
    </w:p>
    <w:p>
      <w:pPr>
        <w:pStyle w:val="BodyText"/>
      </w:pPr>
      <w:bookmarkStart w:id="43" w:name="eq-sensitivity"/>
      <m:oMathPara>
        <m:oMathParaPr>
          <m:jc m:val="center"/>
        </m:oMathParaPr>
        <m:oMath>
          <m:f>
            <m:fPr>
              <m:type m:val="bar"/>
            </m:fPr>
            <m:num>
              <m:r>
                <m:rPr>
                  <m:sty m:val="p"/>
                </m:rPr>
                <m:t>∂</m:t>
              </m:r>
              <m:r>
                <m:t>P</m:t>
              </m:r>
            </m:num>
            <m:den>
              <m:r>
                <m:rPr>
                  <m:sty m:val="p"/>
                </m:rPr>
                <m:t>∂</m:t>
              </m:r>
              <m:sSub>
                <m:e>
                  <m:r>
                    <m:t>x</m:t>
                  </m:r>
                </m:e>
                <m:sub>
                  <m:r>
                    <m:t>F</m:t>
                  </m:r>
                </m:sub>
              </m:sSub>
            </m:den>
          </m:f>
          <m:r>
            <m:rPr>
              <m:sty m:val="p"/>
            </m:rPr>
            <m:t>=</m:t>
          </m:r>
          <m:f>
            <m:fPr>
              <m:type m:val="bar"/>
            </m:fPr>
            <m:num>
              <m:r>
                <m:t>F</m:t>
              </m:r>
            </m:num>
            <m:den>
              <m:sSub>
                <m:e>
                  <m:r>
                    <m:t>x</m:t>
                  </m:r>
                </m:e>
                <m:sub>
                  <m:r>
                    <m:t>P</m:t>
                  </m:r>
                </m:sub>
              </m:sSub>
              <m:r>
                <m:rPr>
                  <m:sty m:val="p"/>
                </m:rPr>
                <m:t>−</m:t>
              </m:r>
              <m:sSub>
                <m:e>
                  <m:r>
                    <m:t>x</m:t>
                  </m:r>
                </m:e>
                <m:sub>
                  <m:r>
                    <m:t>L</m:t>
                  </m:r>
                </m:sub>
              </m:sSub>
            </m:den>
          </m:f>
          <m:r>
            <m:rPr>
              <m:sty m:val="p"/>
            </m:rPr>
            <m:t>,</m:t>
          </m:r>
          <m:r>
            <m:t> </m:t>
          </m:r>
          <m:f>
            <m:fPr>
              <m:type m:val="bar"/>
            </m:fPr>
            <m:num>
              <m:r>
                <m:rPr>
                  <m:sty m:val="p"/>
                </m:rPr>
                <m:t>∂</m:t>
              </m:r>
              <m:r>
                <m:t>P</m:t>
              </m:r>
            </m:num>
            <m:den>
              <m:r>
                <m:rPr>
                  <m:sty m:val="p"/>
                </m:rPr>
                <m:t>∂</m:t>
              </m:r>
              <m:sSub>
                <m:e>
                  <m:r>
                    <m:t>x</m:t>
                  </m:r>
                </m:e>
                <m:sub>
                  <m:r>
                    <m:t>P</m:t>
                  </m:r>
                </m:sub>
              </m:sSub>
            </m:den>
          </m:f>
          <m:r>
            <m:rPr>
              <m:sty m:val="p"/>
            </m:rPr>
            <m:t>=</m:t>
          </m:r>
          <m:r>
            <m:rPr>
              <m:sty m:val="p"/>
            </m:rPr>
            <m:t>−</m:t>
          </m:r>
          <m:f>
            <m:fPr>
              <m:type m:val="bar"/>
            </m:fPr>
            <m:num>
              <m:r>
                <m:t>F</m:t>
              </m:r>
              <m:r>
                <m:rPr>
                  <m:sty m:val="p"/>
                </m:rPr>
                <m:t>(</m:t>
              </m:r>
              <m:sSub>
                <m:e>
                  <m:r>
                    <m:t>x</m:t>
                  </m:r>
                </m:e>
                <m:sub>
                  <m:r>
                    <m:t>F</m:t>
                  </m:r>
                </m:sub>
              </m:sSub>
              <m:r>
                <m:rPr>
                  <m:sty m:val="p"/>
                </m:rPr>
                <m:t>−</m:t>
              </m:r>
              <m:sSub>
                <m:e>
                  <m:r>
                    <m:t>x</m:t>
                  </m:r>
                </m:e>
                <m:sub>
                  <m:r>
                    <m:t>L</m:t>
                  </m:r>
                </m:sub>
              </m:sSub>
              <m:r>
                <m:rPr>
                  <m:sty m:val="p"/>
                </m:rPr>
                <m:t>)</m:t>
              </m:r>
            </m:num>
            <m:den>
              <m:r>
                <m:rPr>
                  <m:sty m:val="p"/>
                </m:rPr>
                <m:t>(</m:t>
              </m:r>
              <m:sSub>
                <m:e>
                  <m:r>
                    <m:t>x</m:t>
                  </m:r>
                </m:e>
                <m:sub>
                  <m:r>
                    <m:t>P</m:t>
                  </m:r>
                </m:sub>
              </m:sSub>
              <m:r>
                <m:rPr>
                  <m:sty m:val="p"/>
                </m:rPr>
                <m:t>−</m:t>
              </m:r>
              <m:sSub>
                <m:e>
                  <m:r>
                    <m:t>x</m:t>
                  </m:r>
                </m:e>
                <m:sub>
                  <m:r>
                    <m:t>L</m:t>
                  </m:r>
                </m:sub>
              </m:sSub>
              <m:sSup>
                <m:e>
                  <m:r>
                    <m:rPr>
                      <m:sty m:val="p"/>
                    </m:rPr>
                    <m:t>)</m:t>
                  </m:r>
                </m:e>
                <m:sup>
                  <m:r>
                    <m:t>2</m:t>
                  </m:r>
                </m:sup>
              </m:sSup>
            </m:den>
          </m:f>
          <m:r>
            <m:rPr>
              <m:sty m:val="p"/>
            </m:rPr>
            <m:t>,</m:t>
          </m:r>
          <m:r>
            <m:t> </m:t>
          </m:r>
          <m:f>
            <m:fPr>
              <m:type m:val="bar"/>
            </m:fPr>
            <m:num>
              <m:r>
                <m:rPr>
                  <m:sty m:val="p"/>
                </m:rPr>
                <m:t>∂</m:t>
              </m:r>
              <m:r>
                <m:t>P</m:t>
              </m:r>
            </m:num>
            <m:den>
              <m:r>
                <m:rPr>
                  <m:sty m:val="p"/>
                </m:rPr>
                <m:t>∂</m:t>
              </m:r>
              <m:sSub>
                <m:e>
                  <m:r>
                    <m:t>x</m:t>
                  </m:r>
                </m:e>
                <m:sub>
                  <m:r>
                    <m:t>L</m:t>
                  </m:r>
                </m:sub>
              </m:sSub>
            </m:den>
          </m:f>
          <m:r>
            <m:rPr>
              <m:sty m:val="p"/>
            </m:rPr>
            <m:t>=</m:t>
          </m:r>
          <m:f>
            <m:fPr>
              <m:type m:val="bar"/>
            </m:fPr>
            <m:num>
              <m:r>
                <m:t>F</m:t>
              </m:r>
              <m:r>
                <m:rPr>
                  <m:sty m:val="p"/>
                </m:rPr>
                <m:t>(</m:t>
              </m:r>
              <m:sSub>
                <m:e>
                  <m:r>
                    <m:t>x</m:t>
                  </m:r>
                </m:e>
                <m:sub>
                  <m:r>
                    <m:t>F</m:t>
                  </m:r>
                </m:sub>
              </m:sSub>
              <m:r>
                <m:rPr>
                  <m:sty m:val="p"/>
                </m:rPr>
                <m:t>−</m:t>
              </m:r>
              <m:sSub>
                <m:e>
                  <m:r>
                    <m:t>x</m:t>
                  </m:r>
                </m:e>
                <m:sub>
                  <m:r>
                    <m:t>P</m:t>
                  </m:r>
                </m:sub>
              </m:sSub>
              <m:r>
                <m:rPr>
                  <m:sty m:val="p"/>
                </m:rPr>
                <m:t>)</m:t>
              </m:r>
            </m:num>
            <m:den>
              <m:r>
                <m:rPr>
                  <m:sty m:val="p"/>
                </m:rPr>
                <m:t>(</m:t>
              </m:r>
              <m:sSub>
                <m:e>
                  <m:r>
                    <m:t>x</m:t>
                  </m:r>
                </m:e>
                <m:sub>
                  <m:r>
                    <m:t>P</m:t>
                  </m:r>
                </m:sub>
              </m:sSub>
              <m:r>
                <m:rPr>
                  <m:sty m:val="p"/>
                </m:rPr>
                <m:t>−</m:t>
              </m:r>
              <m:sSub>
                <m:e>
                  <m:r>
                    <m:t>x</m:t>
                  </m:r>
                </m:e>
                <m:sub>
                  <m:r>
                    <m:t>L</m:t>
                  </m:r>
                </m:sub>
              </m:sSub>
              <m:sSup>
                <m:e>
                  <m:r>
                    <m:rPr>
                      <m:sty m:val="p"/>
                    </m:rPr>
                    <m:t>)</m:t>
                  </m:r>
                </m:e>
                <m:sup>
                  <m:r>
                    <m:t>2</m:t>
                  </m:r>
                </m:sup>
              </m:sSup>
            </m:den>
          </m:f>
          <m:r>
            <m:rPr>
              <m:sty m:val="p"/>
            </m:rPr>
            <m:t>.</m:t>
          </m:r>
          <m:r>
            <m:t>  </m:t>
          </m:r>
          <m:r>
            <m:rPr>
              <m:sty m:val="p"/>
            </m:rPr>
            <m:t>(</m:t>
          </m:r>
          <m:r>
            <m:t>11</m:t>
          </m:r>
          <m:r>
            <m:rPr>
              <m:sty m:val="p"/>
            </m:rPr>
            <m:t>)</m:t>
          </m:r>
        </m:oMath>
      </m:oMathPara>
      <w:bookmarkEnd w:id="43"/>
    </w:p>
    <w:p>
      <w:pPr>
        <w:pStyle w:val="FirstParagraph"/>
      </w:pPr>
      <w:r>
        <w:t xml:space="preserve">At the base point, a one-percentage-point absolute increase in</w:t>
      </w:r>
      <w:r>
        <w:t xml:space="preserve"> </w:t>
      </w:r>
      <m:oMath>
        <m:sSub>
          <m:e>
            <m:r>
              <m:t>x</m:t>
            </m:r>
          </m:e>
          <m:sub>
            <m:r>
              <m:t>F</m:t>
            </m:r>
          </m:sub>
        </m:sSub>
      </m:oMath>
      <w:r>
        <w:t xml:space="preserve"> </w:t>
      </w:r>
      <w:r>
        <w:t xml:space="preserve">locally increases</w:t>
      </w:r>
      <w:r>
        <w:t xml:space="preserve"> </w:t>
      </w:r>
      <m:oMath>
        <m:r>
          <m:t>P</m:t>
        </m:r>
      </m:oMath>
      <w:r>
        <w:t xml:space="preserve"> </w:t>
      </w:r>
      <w:r>
        <w:t xml:space="preserve">by about</w:t>
      </w:r>
      <w:r>
        <w:t xml:space="preserve"> </w:t>
      </w:r>
      <m:oMath>
        <m:r>
          <m:t>35.7</m:t>
        </m:r>
        <m:r>
          <m:t> </m:t>
        </m:r>
        <m:r>
          <m:rPr>
            <m:sty m:val="p"/>
          </m:rPr>
          <m:t>k</m:t>
        </m:r>
        <m:r>
          <m:rPr>
            <m:sty m:val="p"/>
          </m:rPr>
          <m:t>g</m:t>
        </m:r>
        <m:r>
          <m:rPr>
            <m:sty m:val="p"/>
          </m:rPr>
          <m:t>/</m:t>
        </m:r>
        <m:r>
          <m:rPr>
            <m:sty m:val="p"/>
          </m:rPr>
          <m:t>h</m:t>
        </m:r>
      </m:oMath>
      <w:r>
        <w:t xml:space="preserve">. One point in</w:t>
      </w:r>
      <w:r>
        <w:t xml:space="preserve"> </w:t>
      </w:r>
      <m:oMath>
        <m:sSub>
          <m:e>
            <m:r>
              <m:t>x</m:t>
            </m:r>
          </m:e>
          <m:sub>
            <m:r>
              <m:t>P</m:t>
            </m:r>
          </m:sub>
        </m:sSub>
      </m:oMath>
      <w:r>
        <w:t xml:space="preserve"> </w:t>
      </w:r>
      <w:r>
        <w:t xml:space="preserve">decreases it by about</w:t>
      </w:r>
      <w:r>
        <w:t xml:space="preserve"> </w:t>
      </w:r>
      <m:oMath>
        <m:r>
          <m:t>12.8</m:t>
        </m:r>
        <m:r>
          <m:t> </m:t>
        </m:r>
        <m:r>
          <m:rPr>
            <m:sty m:val="p"/>
          </m:rPr>
          <m:t>k</m:t>
        </m:r>
        <m:r>
          <m:rPr>
            <m:sty m:val="p"/>
          </m:rPr>
          <m:t>g</m:t>
        </m:r>
        <m:r>
          <m:rPr>
            <m:sty m:val="p"/>
          </m:rPr>
          <m:t>/</m:t>
        </m:r>
        <m:r>
          <m:rPr>
            <m:sty m:val="p"/>
          </m:rPr>
          <m:t>h</m:t>
        </m:r>
      </m:oMath>
      <w:r>
        <w:t xml:space="preserve">; one point in</w:t>
      </w:r>
      <w:r>
        <w:t xml:space="preserve"> </w:t>
      </w:r>
      <m:oMath>
        <m:sSub>
          <m:e>
            <m:r>
              <m:t>x</m:t>
            </m:r>
          </m:e>
          <m:sub>
            <m:r>
              <m:t>L</m:t>
            </m:r>
          </m:sub>
        </m:sSub>
      </m:oMath>
      <w:r>
        <w:t xml:space="preserve"> </w:t>
      </w:r>
      <w:r>
        <w:t xml:space="preserve">decreases it by about</w:t>
      </w:r>
      <w:r>
        <w:t xml:space="preserve"> </w:t>
      </w:r>
      <m:oMath>
        <m:r>
          <m:t>23.0</m:t>
        </m:r>
        <m:r>
          <m:t> </m:t>
        </m:r>
        <m:r>
          <m:rPr>
            <m:sty m:val="p"/>
          </m:rPr>
          <m:t>k</m:t>
        </m:r>
        <m:r>
          <m:rPr>
            <m:sty m:val="p"/>
          </m:rPr>
          <m:t>g</m:t>
        </m:r>
        <m:r>
          <m:rPr>
            <m:sty m:val="p"/>
          </m:rPr>
          <m:t>/</m:t>
        </m:r>
        <m:r>
          <m:rPr>
            <m:sty m:val="p"/>
          </m:rPr>
          <m:t>h</m:t>
        </m:r>
      </m:oMath>
      <w:r>
        <w:t xml:space="preserve">. These are local derivatives, not replacements for recalculation after large changes.</w:t>
      </w:r>
    </w:p>
    <w:tbl>
      <w:tblPr>
        <w:tblStyle w:val="Table"/>
        <w:tblW w:type="pct" w:w="5000"/>
        <w:tblLayout w:type="fixed"/>
        <w:tblLook w:firstRow="0" w:lastRow="0" w:firstColumn="0" w:lastColumn="0" w:noHBand="0" w:noVBand="0" w:val="0000"/>
      </w:tblPr>
      <w:tblGrid>
        <w:gridCol w:w="7920"/>
      </w:tblGrid>
      <w:tr>
        <w:tc>
          <w:tcPr/>
          <w:bookmarkStart w:id="47" w:name="fig-sensitivity"/>
          <w:p>
            <w:pPr>
              <w:pStyle w:val="Compact"/>
              <w:jc w:val="center"/>
            </w:pPr>
            <w:r>
              <w:drawing>
                <wp:inline>
                  <wp:extent cx="4693920" cy="3201696"/>
                  <wp:effectExtent b="0" l="0" r="0" t="0"/>
                  <wp:docPr descr="" title="" id="45" name="Picture"/>
                  <a:graphic>
                    <a:graphicData uri="http://schemas.openxmlformats.org/drawingml/2006/picture">
                      <pic:pic>
                        <pic:nvPicPr>
                          <pic:cNvPr descr="../../../assets/NS-SBTP-PSF-001-v2.0/fig03_separator_sensitivity.png" id="46" name="Picture"/>
                          <pic:cNvPicPr>
                            <a:picLocks noChangeArrowheads="1" noChangeAspect="1"/>
                          </pic:cNvPicPr>
                        </pic:nvPicPr>
                        <pic:blipFill>
                          <a:blip r:embed="rId44"/>
                          <a:stretch>
                            <a:fillRect/>
                          </a:stretch>
                        </pic:blipFill>
                        <pic:spPr bwMode="auto">
                          <a:xfrm>
                            <a:off x="0" y="0"/>
                            <a:ext cx="4693920" cy="3201696"/>
                          </a:xfrm>
                          <a:prstGeom prst="rect">
                            <a:avLst/>
                          </a:prstGeom>
                          <a:noFill/>
                          <a:ln w="9525">
                            <a:noFill/>
                            <a:headEnd/>
                            <a:tailEnd/>
                          </a:ln>
                        </pic:spPr>
                      </pic:pic>
                    </a:graphicData>
                  </a:graphic>
                </wp:inline>
              </w:drawing>
            </w:r>
          </w:p>
          <w:p>
            <w:pPr>
              <w:jc w:val="center"/>
            </w:pPr>
            <w:pPr>
              <w:jc w:val="left"/>
              <w:spacing w:before="200"/>
              <w:pStyle w:val="ImageCaption"/>
            </w:pPr>
            <w:r>
              <w:t xml:space="preserve">Figure 3: Sensitivity of product flow to product concentration while feed and liquid-stream composition remain fixed.</w:t>
            </w:r>
          </w:p>
          <w:bookmarkEnd w:id="47"/>
        </w:tc>
      </w:tr>
    </w:tbl>
    <w:p>
      <w:pPr>
        <w:pStyle w:val="BodyText"/>
      </w:pPr>
      <w:r>
        <w:t xml:space="preserve">The curve in</w:t>
      </w:r>
      <w:r>
        <w:t xml:space="preserve"> </w:t>
      </w:r>
      <w:hyperlink w:anchor="fig-sensitivity">
        <w:r>
          <w:rPr>
            <w:rStyle w:val="Hyperlink"/>
          </w:rPr>
          <w:t xml:space="preserve">Figure 3</w:t>
        </w:r>
      </w:hyperlink>
      <w:r>
        <w:t xml:space="preserve"> </w:t>
      </w:r>
      <w:r>
        <w:t xml:space="preserve">is nonlinear. Near</w:t>
      </w:r>
      <w:r>
        <w:t xml:space="preserve"> </w:t>
      </w:r>
      <m:oMath>
        <m:sSub>
          <m:e>
            <m:r>
              <m:t>x</m:t>
            </m:r>
          </m:e>
          <m:sub>
            <m:r>
              <m:t>P</m:t>
            </m:r>
          </m:sub>
        </m:sSub>
        <m:r>
          <m:rPr>
            <m:sty m:val="p"/>
          </m:rPr>
          <m:t>=</m:t>
        </m:r>
        <m:sSub>
          <m:e>
            <m:r>
              <m:t>x</m:t>
            </m:r>
          </m:e>
          <m:sub>
            <m:r>
              <m:t>L</m:t>
            </m:r>
          </m:sub>
        </m:sSub>
      </m:oMath>
      <w:r>
        <w:t xml:space="preserve">, the calculation becomes extremely sensitive: small analytical differences generate large flow changes. At higher concentrations, the slope decreases. This helps decide where improved sampling or measurement adds value; input variables do not contribute equally to result uncertainty.</w:t>
      </w:r>
    </w:p>
    <w:p>
      <w:pPr>
        <w:pStyle w:val="BodyText"/>
      </w:pPr>
      <w:r>
        <w:t xml:space="preserve">The figure does not show that increasing</w:t>
      </w:r>
      <w:r>
        <w:t xml:space="preserve"> </w:t>
      </w:r>
      <m:oMath>
        <m:sSub>
          <m:e>
            <m:r>
              <m:t>x</m:t>
            </m:r>
          </m:e>
          <m:sub>
            <m:r>
              <m:t>P</m:t>
            </m:r>
          </m:sub>
        </m:sSub>
      </m:oMath>
      <w:r>
        <w:t xml:space="preserve"> </w:t>
      </w:r>
      <w:r>
        <w:t xml:space="preserve">alone causes production to fall in a real plant. Other variables are held fixed, and the plot represents a balance relation—not kinetics or equipment capacity.</w:t>
      </w:r>
    </w:p>
    <w:bookmarkEnd w:id="48"/>
    <w:bookmarkStart w:id="55" w:name="worked-case-ii-component-accumulation"/>
    <w:p>
      <w:pPr>
        <w:pStyle w:val="Heading1"/>
      </w:pPr>
      <w:r>
        <w:t xml:space="preserve">Worked case II: component accumulation</w:t>
      </w:r>
    </w:p>
    <w:p>
      <w:pPr>
        <w:pStyle w:val="FirstParagraph"/>
      </w:pPr>
      <w:r>
        <w:t xml:space="preserve">Consider a perfectly mixed tank with constant inventory</w:t>
      </w:r>
      <w:r>
        <w:t xml:space="preserve"> </w:t>
      </w:r>
      <m:oMath>
        <m:r>
          <m:t>M</m:t>
        </m:r>
        <m:r>
          <m:rPr>
            <m:sty m:val="p"/>
          </m:rPr>
          <m:t>=</m:t>
        </m:r>
        <m:r>
          <m:t>500</m:t>
        </m:r>
        <m:r>
          <m:t> </m:t>
        </m:r>
        <m:r>
          <m:rPr>
            <m:sty m:val="p"/>
          </m:rPr>
          <m:t>k</m:t>
        </m:r>
        <m:r>
          <m:rPr>
            <m:sty m:val="p"/>
          </m:rPr>
          <m:t>g</m:t>
        </m:r>
      </m:oMath>
      <w:r>
        <w:t xml:space="preserve">. Inlet and outlet flows are both</w:t>
      </w:r>
      <w:r>
        <w:t xml:space="preserve"> </w:t>
      </w:r>
      <m:oMath>
        <m:r>
          <m:t>F</m:t>
        </m:r>
        <m:r>
          <m:rPr>
            <m:sty m:val="p"/>
          </m:rPr>
          <m:t>=</m:t>
        </m:r>
        <m:r>
          <m:t>100</m:t>
        </m:r>
        <m:r>
          <m:t> </m:t>
        </m:r>
        <m:r>
          <m:rPr>
            <m:sty m:val="p"/>
          </m:rPr>
          <m:t>k</m:t>
        </m:r>
        <m:r>
          <m:rPr>
            <m:sty m:val="p"/>
          </m:rPr>
          <m:t>g</m:t>
        </m:r>
        <m:r>
          <m:rPr>
            <m:sty m:val="p"/>
          </m:rPr>
          <m:t>/</m:t>
        </m:r>
        <m:r>
          <m:rPr>
            <m:sty m:val="p"/>
          </m:rPr>
          <m:t>h</m:t>
        </m:r>
      </m:oMath>
      <w:r>
        <w:t xml:space="preserve">, so the total balance is at steady state. Inlet mass fraction changes to</w:t>
      </w:r>
      <w:r>
        <w:t xml:space="preserve"> </w:t>
      </w:r>
      <m:oMath>
        <m:sSub>
          <m:e>
            <m:r>
              <m:t>x</m:t>
            </m:r>
          </m:e>
          <m:sub>
            <m:r>
              <m:rPr>
                <m:sty m:val="p"/>
              </m:rPr>
              <m:t>i</m:t>
            </m:r>
            <m:r>
              <m:rPr>
                <m:sty m:val="p"/>
              </m:rPr>
              <m:t>n</m:t>
            </m:r>
          </m:sub>
        </m:sSub>
        <m:r>
          <m:rPr>
            <m:sty m:val="p"/>
          </m:rPr>
          <m:t>=</m:t>
        </m:r>
        <m:r>
          <m:t>0.10</m:t>
        </m:r>
      </m:oMath>
      <w:r>
        <w:t xml:space="preserve"> </w:t>
      </w:r>
      <w:r>
        <w:t xml:space="preserve">while the tank starts at</w:t>
      </w:r>
      <w:r>
        <w:t xml:space="preserve"> </w:t>
      </w:r>
      <m:oMath>
        <m:sSub>
          <m:e>
            <m:r>
              <m:t>x</m:t>
            </m:r>
          </m:e>
          <m:sub>
            <m:r>
              <m:t>0</m:t>
            </m:r>
          </m:sub>
        </m:sSub>
        <m:r>
          <m:rPr>
            <m:sty m:val="p"/>
          </m:rPr>
          <m:t>=</m:t>
        </m:r>
        <m:r>
          <m:t>0.02</m:t>
        </m:r>
      </m:oMath>
      <w:r>
        <w:t xml:space="preserve">.</w:t>
      </w:r>
    </w:p>
    <w:p>
      <w:pPr>
        <w:pStyle w:val="BodyText"/>
      </w:pPr>
      <w:r>
        <w:t xml:space="preserve">The outlet has the instantaneous tank composition,</w:t>
      </w:r>
      <w:r>
        <w:t xml:space="preserve"> </w:t>
      </w:r>
      <m:oMath>
        <m:r>
          <m:t>x</m:t>
        </m:r>
        <m:r>
          <m:rPr>
            <m:sty m:val="p"/>
          </m:rPr>
          <m:t>(</m:t>
        </m:r>
        <m:r>
          <m:t>t</m:t>
        </m:r>
        <m:r>
          <m:rPr>
            <m:sty m:val="p"/>
          </m:rPr>
          <m:t>)</m:t>
        </m:r>
      </m:oMath>
      <w:r>
        <w:t xml:space="preserve">. The component balance is:</w:t>
      </w:r>
    </w:p>
    <w:p>
      <w:pPr>
        <w:pStyle w:val="BodyText"/>
      </w:pPr>
      <w:bookmarkStart w:id="49" w:name="eq-tank-ode"/>
      <m:oMathPara>
        <m:oMathParaPr>
          <m:jc m:val="center"/>
        </m:oMathParaPr>
        <m:oMath>
          <m:r>
            <m:t>M</m:t>
          </m:r>
          <m:f>
            <m:fPr>
              <m:type m:val="bar"/>
            </m:fPr>
            <m:num>
              <m:r>
                <m:t>d</m:t>
              </m:r>
              <m:r>
                <m:t>x</m:t>
              </m:r>
            </m:num>
            <m:den>
              <m:r>
                <m:t>d</m:t>
              </m:r>
              <m:r>
                <m:t>t</m:t>
              </m:r>
            </m:den>
          </m:f>
          <m:r>
            <m:rPr>
              <m:sty m:val="p"/>
            </m:rPr>
            <m:t>=</m:t>
          </m:r>
          <m:r>
            <m:t>F</m:t>
          </m:r>
          <m:sSub>
            <m:e>
              <m:r>
                <m:t>x</m:t>
              </m:r>
            </m:e>
            <m:sub>
              <m:r>
                <m:rPr>
                  <m:sty m:val="p"/>
                </m:rPr>
                <m:t>i</m:t>
              </m:r>
              <m:r>
                <m:rPr>
                  <m:sty m:val="p"/>
                </m:rPr>
                <m:t>n</m:t>
              </m:r>
            </m:sub>
          </m:sSub>
          <m:r>
            <m:rPr>
              <m:sty m:val="p"/>
            </m:rPr>
            <m:t>−</m:t>
          </m:r>
          <m:r>
            <m:t>F</m:t>
          </m:r>
          <m:r>
            <m:t>x</m:t>
          </m:r>
          <m:r>
            <m:rPr>
              <m:sty m:val="p"/>
            </m:rPr>
            <m:t>.</m:t>
          </m:r>
          <m:r>
            <m:t>  </m:t>
          </m:r>
          <m:r>
            <m:rPr>
              <m:sty m:val="p"/>
            </m:rPr>
            <m:t>(</m:t>
          </m:r>
          <m:r>
            <m:t>12</m:t>
          </m:r>
          <m:r>
            <m:rPr>
              <m:sty m:val="p"/>
            </m:rPr>
            <m:t>)</m:t>
          </m:r>
        </m:oMath>
      </m:oMathPara>
      <w:bookmarkEnd w:id="49"/>
    </w:p>
    <w:p>
      <w:pPr>
        <w:pStyle w:val="FirstParagraph"/>
      </w:pPr>
      <w:r>
        <w:t xml:space="preserve">Defining</w:t>
      </w:r>
      <w:r>
        <w:t xml:space="preserve"> </w:t>
      </w:r>
      <m:oMath>
        <m:r>
          <m:t>τ</m:t>
        </m:r>
        <m:r>
          <m:rPr>
            <m:sty m:val="p"/>
          </m:rPr>
          <m:t>=</m:t>
        </m:r>
        <m:r>
          <m:t>M</m:t>
        </m:r>
        <m:r>
          <m:rPr>
            <m:sty m:val="p"/>
          </m:rPr>
          <m:t>/</m:t>
        </m:r>
        <m:r>
          <m:t>F</m:t>
        </m:r>
      </m:oMath>
      <w:r>
        <w:t xml:space="preserve">, the solution is:</w:t>
      </w:r>
    </w:p>
    <w:p>
      <w:pPr>
        <w:pStyle w:val="BodyText"/>
      </w:pPr>
      <w:bookmarkStart w:id="50" w:name="eq-tank-solution"/>
      <m:oMathPara>
        <m:oMathParaPr>
          <m:jc m:val="center"/>
        </m:oMathParaPr>
        <m:oMath>
          <m:r>
            <m:t>x</m:t>
          </m:r>
          <m:r>
            <m:rPr>
              <m:sty m:val="p"/>
            </m:rPr>
            <m:t>(</m:t>
          </m:r>
          <m:r>
            <m:t>t</m:t>
          </m:r>
          <m:r>
            <m:rPr>
              <m:sty m:val="p"/>
            </m:rPr>
            <m:t>)</m:t>
          </m:r>
          <m:r>
            <m:rPr>
              <m:sty m:val="p"/>
            </m:rPr>
            <m:t>=</m:t>
          </m:r>
          <m:sSub>
            <m:e>
              <m:r>
                <m:t>x</m:t>
              </m:r>
            </m:e>
            <m:sub>
              <m:r>
                <m:rPr>
                  <m:sty m:val="p"/>
                </m:rPr>
                <m:t>i</m:t>
              </m:r>
              <m:r>
                <m:rPr>
                  <m:sty m:val="p"/>
                </m:rPr>
                <m:t>n</m:t>
              </m:r>
            </m:sub>
          </m:sSub>
          <m:r>
            <m:rPr>
              <m:sty m:val="p"/>
            </m:rPr>
            <m:t>+</m:t>
          </m:r>
          <m:d>
            <m:dPr>
              <m:begChr m:val="("/>
              <m:sepChr m:val=""/>
              <m:endChr m:val=")"/>
              <m:grow/>
            </m:dPr>
            <m:e>
              <m:sSub>
                <m:e>
                  <m:r>
                    <m:t>x</m:t>
                  </m:r>
                </m:e>
                <m:sub>
                  <m:r>
                    <m:t>0</m:t>
                  </m:r>
                </m:sub>
              </m:sSub>
              <m:r>
                <m:rPr>
                  <m:sty m:val="p"/>
                </m:rPr>
                <m:t>−</m:t>
              </m:r>
              <m:sSub>
                <m:e>
                  <m:r>
                    <m:t>x</m:t>
                  </m:r>
                </m:e>
                <m:sub>
                  <m:r>
                    <m:rPr>
                      <m:sty m:val="p"/>
                    </m:rPr>
                    <m:t>i</m:t>
                  </m:r>
                  <m:r>
                    <m:rPr>
                      <m:sty m:val="p"/>
                    </m:rPr>
                    <m:t>n</m:t>
                  </m:r>
                </m:sub>
              </m:sSub>
            </m:e>
          </m:d>
          <m:sSup>
            <m:e>
              <m:r>
                <m:t>e</m:t>
              </m:r>
            </m:e>
            <m:sup>
              <m:r>
                <m:rPr>
                  <m:sty m:val="p"/>
                </m:rPr>
                <m:t>−</m:t>
              </m:r>
              <m:r>
                <m:t>t</m:t>
              </m:r>
              <m:r>
                <m:rPr>
                  <m:sty m:val="p"/>
                </m:rPr>
                <m:t>/</m:t>
              </m:r>
              <m:r>
                <m:t>τ</m:t>
              </m:r>
            </m:sup>
          </m:sSup>
          <m:r>
            <m:rPr>
              <m:sty m:val="p"/>
            </m:rPr>
            <m:t>,</m:t>
          </m:r>
          <m:r>
            <m:t>  </m:t>
          </m:r>
          <m:r>
            <m:t>τ</m:t>
          </m:r>
          <m:r>
            <m:rPr>
              <m:sty m:val="p"/>
            </m:rPr>
            <m:t>=</m:t>
          </m:r>
          <m:r>
            <m:t>5</m:t>
          </m:r>
          <m:r>
            <m:t> </m:t>
          </m:r>
          <m:r>
            <m:rPr>
              <m:sty m:val="p"/>
            </m:rPr>
            <m:t>h</m:t>
          </m:r>
          <m:r>
            <m:rPr>
              <m:sty m:val="p"/>
            </m:rPr>
            <m:t>.</m:t>
          </m:r>
          <m:r>
            <m:t>  </m:t>
          </m:r>
          <m:r>
            <m:rPr>
              <m:sty m:val="p"/>
            </m:rPr>
            <m:t>(</m:t>
          </m:r>
          <m:r>
            <m:t>13</m:t>
          </m:r>
          <m:r>
            <m:rPr>
              <m:sty m:val="p"/>
            </m:rPr>
            <m:t>)</m:t>
          </m:r>
        </m:oMath>
      </m:oMathPara>
      <w:bookmarkEnd w:id="50"/>
    </w:p>
    <w:tbl>
      <w:tblPr>
        <w:tblStyle w:val="Table"/>
        <w:tblW w:type="pct" w:w="5000"/>
        <w:tblLayout w:type="fixed"/>
        <w:tblLook w:firstRow="0" w:lastRow="0" w:firstColumn="0" w:lastColumn="0" w:noHBand="0" w:noVBand="0" w:val="0000"/>
      </w:tblPr>
      <w:tblGrid>
        <w:gridCol w:w="7920"/>
      </w:tblGrid>
      <w:tr>
        <w:tc>
          <w:tcPr/>
          <w:bookmarkStart w:id="54" w:name="fig-transient"/>
          <w:p>
            <w:pPr>
              <w:pStyle w:val="Compact"/>
              <w:jc w:val="center"/>
            </w:pPr>
            <w:r>
              <w:drawing>
                <wp:inline>
                  <wp:extent cx="4693920" cy="4116624"/>
                  <wp:effectExtent b="0" l="0" r="0" t="0"/>
                  <wp:docPr descr="" title="" id="52" name="Picture"/>
                  <a:graphic>
                    <a:graphicData uri="http://schemas.openxmlformats.org/drawingml/2006/picture">
                      <pic:pic>
                        <pic:nvPicPr>
                          <pic:cNvPr descr="../../../assets/NS-SBTP-PSF-001-v2.0/fig04_transient_tank.png" id="53" name="Picture"/>
                          <pic:cNvPicPr>
                            <a:picLocks noChangeArrowheads="1" noChangeAspect="1"/>
                          </pic:cNvPicPr>
                        </pic:nvPicPr>
                        <pic:blipFill>
                          <a:blip r:embed="rId51"/>
                          <a:stretch>
                            <a:fillRect/>
                          </a:stretch>
                        </pic:blipFill>
                        <pic:spPr bwMode="auto">
                          <a:xfrm>
                            <a:off x="0" y="0"/>
                            <a:ext cx="4693920" cy="4116624"/>
                          </a:xfrm>
                          <a:prstGeom prst="rect">
                            <a:avLst/>
                          </a:prstGeom>
                          <a:noFill/>
                          <a:ln w="9525">
                            <a:noFill/>
                            <a:headEnd/>
                            <a:tailEnd/>
                          </a:ln>
                        </pic:spPr>
                      </pic:pic>
                    </a:graphicData>
                  </a:graphic>
                </wp:inline>
              </w:drawing>
            </w:r>
          </w:p>
          <w:p>
            <w:pPr>
              <w:jc w:val="center"/>
            </w:pPr>
            <w:pPr>
              <w:jc w:val="left"/>
              <w:spacing w:before="200"/>
              <w:pStyle w:val="ImageCaption"/>
            </w:pPr>
            <w:r>
              <w:t xml:space="preserve">Figure 4: Transient component response. Total inventory remains constant while the component accumulates toward inlet composition.</w:t>
            </w:r>
          </w:p>
          <w:bookmarkEnd w:id="54"/>
        </w:tc>
      </w:tr>
    </w:tbl>
    <w:p>
      <w:pPr>
        <w:pStyle w:val="BodyText"/>
      </w:pPr>
      <w:r>
        <w:t xml:space="preserve">At</w:t>
      </w:r>
      <w:r>
        <w:t xml:space="preserve"> </w:t>
      </w:r>
      <m:oMath>
        <m:r>
          <m:t>t</m:t>
        </m:r>
        <m:r>
          <m:rPr>
            <m:sty m:val="p"/>
          </m:rPr>
          <m:t>=</m:t>
        </m:r>
        <m:r>
          <m:t>5</m:t>
        </m:r>
        <m:r>
          <m:t> </m:t>
        </m:r>
        <m:r>
          <m:rPr>
            <m:sty m:val="p"/>
          </m:rPr>
          <m:t>h</m:t>
        </m:r>
        <m:r>
          <m:rPr>
            <m:sty m:val="p"/>
          </m:rPr>
          <m:t>=</m:t>
        </m:r>
        <m:r>
          <m:t>τ</m:t>
        </m:r>
      </m:oMath>
      <w:r>
        <w:t xml:space="preserve">,</w:t>
      </w:r>
      <w:r>
        <w:t xml:space="preserve"> </w:t>
      </w:r>
      <m:oMath>
        <m:r>
          <m:t>x</m:t>
        </m:r>
        <m:r>
          <m:rPr>
            <m:sty m:val="p"/>
          </m:rPr>
          <m:t>=</m:t>
        </m:r>
        <m:r>
          <m:t>0.07057</m:t>
        </m:r>
      </m:oMath>
      <w:r>
        <w:t xml:space="preserve">: the system has covered about 63.2% of the distance from its initial to final condition. At</w:t>
      </w:r>
      <w:r>
        <w:t xml:space="preserve"> </w:t>
      </w:r>
      <m:oMath>
        <m:r>
          <m:t>t</m:t>
        </m:r>
        <m:r>
          <m:rPr>
            <m:sty m:val="p"/>
          </m:rPr>
          <m:t>=</m:t>
        </m:r>
        <m:r>
          <m:t>15</m:t>
        </m:r>
        <m:r>
          <m:t> </m:t>
        </m:r>
        <m:r>
          <m:rPr>
            <m:sty m:val="p"/>
          </m:rPr>
          <m:t>h</m:t>
        </m:r>
        <m:r>
          <m:rPr>
            <m:sty m:val="p"/>
          </m:rPr>
          <m:t>=</m:t>
        </m:r>
        <m:r>
          <m:t>3</m:t>
        </m:r>
        <m:r>
          <m:t>τ</m:t>
        </m:r>
      </m:oMath>
      <w:r>
        <w:t xml:space="preserve">,</w:t>
      </w:r>
      <w:r>
        <w:t xml:space="preserve"> </w:t>
      </w:r>
      <m:oMath>
        <m:r>
          <m:t>x</m:t>
        </m:r>
        <m:r>
          <m:rPr>
            <m:sty m:val="p"/>
          </m:rPr>
          <m:t>=</m:t>
        </m:r>
        <m:r>
          <m:t>0.09602</m:t>
        </m:r>
      </m:oMath>
      <w:r>
        <w:t xml:space="preserve">, about 95% of the change. Initial component accumulation is</w:t>
      </w:r>
      <w:r>
        <w:t xml:space="preserve"> </w:t>
      </w:r>
      <m:oMath>
        <m:r>
          <m:t>F</m:t>
        </m:r>
        <m:r>
          <m:rPr>
            <m:sty m:val="p"/>
          </m:rPr>
          <m:t>(</m:t>
        </m:r>
        <m:sSub>
          <m:e>
            <m:r>
              <m:t>x</m:t>
            </m:r>
          </m:e>
          <m:sub>
            <m:r>
              <m:rPr>
                <m:sty m:val="p"/>
              </m:rPr>
              <m:t>i</m:t>
            </m:r>
            <m:r>
              <m:rPr>
                <m:sty m:val="p"/>
              </m:rPr>
              <m:t>n</m:t>
            </m:r>
          </m:sub>
        </m:sSub>
        <m:r>
          <m:rPr>
            <m:sty m:val="p"/>
          </m:rPr>
          <m:t>−</m:t>
        </m:r>
        <m:sSub>
          <m:e>
            <m:r>
              <m:t>x</m:t>
            </m:r>
          </m:e>
          <m:sub>
            <m:r>
              <m:t>0</m:t>
            </m:r>
          </m:sub>
        </m:sSub>
        <m:r>
          <m:rPr>
            <m:sty m:val="p"/>
          </m:rPr>
          <m:t>)</m:t>
        </m:r>
        <m:r>
          <m:rPr>
            <m:sty m:val="p"/>
          </m:rPr>
          <m:t>=</m:t>
        </m:r>
        <m:r>
          <m:t>8</m:t>
        </m:r>
        <m:r>
          <m:t> </m:t>
        </m:r>
        <m:r>
          <m:rPr>
            <m:sty m:val="p"/>
          </m:rPr>
          <m:t>k</m:t>
        </m:r>
        <m:r>
          <m:rPr>
            <m:sty m:val="p"/>
          </m:rPr>
          <m:t>g</m:t>
        </m:r>
        <m:r>
          <m:rPr>
            <m:sty m:val="p"/>
          </m:rPr>
          <m:t>/</m:t>
        </m:r>
        <m:r>
          <m:rPr>
            <m:sty m:val="p"/>
          </m:rPr>
          <m:t>h</m:t>
        </m:r>
      </m:oMath>
      <w:r>
        <w:t xml:space="preserve"> </w:t>
      </w:r>
      <w:r>
        <w:t xml:space="preserve">and decays toward zero.</w:t>
      </w:r>
    </w:p>
    <w:p>
      <w:pPr>
        <w:pStyle w:val="BodyText"/>
      </w:pPr>
      <w:r>
        <w:t xml:space="preserve">The case proves that</w:t>
      </w:r>
      <w:r>
        <w:t xml:space="preserve"> </w:t>
      </w:r>
      <w:r>
        <w:rPr>
          <w:b/>
          <w:bCs/>
        </w:rPr>
        <w:t xml:space="preserve">total closure does not imply component closure</w:t>
      </w:r>
      <w:r>
        <w:t xml:space="preserve">. If only total inlet and outlet flows are recorded, the process appears steady immediately. Composition reveals internal dynamics. It also explains why sampling must be aligned with residence time: comparing the present inlet with an outlet representing material fed hours earlier can create a false balance error.</w:t>
      </w:r>
    </w:p>
    <w:p>
      <w:pPr>
        <w:pStyle w:val="BodyText"/>
      </w:pPr>
      <w:r>
        <w:t xml:space="preserve">The solution assumes perfect mixing, constant density and flows, no reaction, and instantaneous measurement. Stratification, dead volume, analyzer delay, or variable flow require a more detailed model.</w:t>
      </w:r>
    </w:p>
    <w:bookmarkEnd w:id="55"/>
    <w:bookmarkStart w:id="61" w:name="balance-closure-and-uncertainty"/>
    <w:p>
      <w:pPr>
        <w:pStyle w:val="Heading1"/>
      </w:pPr>
      <w:r>
        <w:t xml:space="preserve">Balance closure and uncertainty</w:t>
      </w:r>
    </w:p>
    <w:bookmarkStart w:id="58" w:name="residual-and-relative-closure"/>
    <w:p>
      <w:pPr>
        <w:pStyle w:val="Heading2"/>
      </w:pPr>
      <w:r>
        <w:t xml:space="preserve">Residual and relative closure</w:t>
      </w:r>
    </w:p>
    <w:p>
      <w:pPr>
        <w:pStyle w:val="FirstParagraph"/>
      </w:pPr>
      <w:r>
        <w:t xml:space="preserve">For a steady total balance, define the residual:</w:t>
      </w:r>
    </w:p>
    <w:p>
      <w:pPr>
        <w:pStyle w:val="BodyText"/>
      </w:pPr>
      <w:bookmarkStart w:id="56" w:name="eq-residual"/>
      <m:oMathPara>
        <m:oMathParaPr>
          <m:jc m:val="center"/>
        </m:oMathParaPr>
        <m:oMath>
          <m:r>
            <m:t>r</m:t>
          </m:r>
          <m:r>
            <m:rPr>
              <m:sty m:val="p"/>
            </m:rPr>
            <m:t>=</m:t>
          </m:r>
          <m:r>
            <m:rPr>
              <m:sty m:val="p"/>
            </m:rPr>
            <m:t>∑</m:t>
          </m:r>
          <m:sSub>
            <m:e>
              <m:acc>
                <m:accPr>
                  <m:chr m:val="̇"/>
                </m:accPr>
                <m:e>
                  <m:r>
                    <m:t>m</m:t>
                  </m:r>
                </m:e>
              </m:acc>
            </m:e>
            <m:sub>
              <m:r>
                <m:rPr>
                  <m:sty m:val="p"/>
                </m:rPr>
                <m:t>i</m:t>
              </m:r>
              <m:r>
                <m:rPr>
                  <m:sty m:val="p"/>
                </m:rPr>
                <m:t>n</m:t>
              </m:r>
            </m:sub>
          </m:sSub>
          <m:r>
            <m:rPr>
              <m:sty m:val="p"/>
            </m:rPr>
            <m:t>−</m:t>
          </m:r>
          <m:r>
            <m:rPr>
              <m:sty m:val="p"/>
            </m:rPr>
            <m:t>∑</m:t>
          </m:r>
          <m:sSub>
            <m:e>
              <m:acc>
                <m:accPr>
                  <m:chr m:val="̇"/>
                </m:accPr>
                <m:e>
                  <m:r>
                    <m:t>m</m:t>
                  </m:r>
                </m:e>
              </m:acc>
            </m:e>
            <m:sub>
              <m:r>
                <m:rPr>
                  <m:sty m:val="p"/>
                </m:rPr>
                <m:t>o</m:t>
              </m:r>
              <m:r>
                <m:rPr>
                  <m:sty m:val="p"/>
                </m:rPr>
                <m:t>u</m:t>
              </m:r>
              <m:r>
                <m:rPr>
                  <m:sty m:val="p"/>
                </m:rPr>
                <m:t>t</m:t>
              </m:r>
            </m:sub>
          </m:sSub>
          <m:r>
            <m:rPr>
              <m:sty m:val="p"/>
            </m:rPr>
            <m:t>.</m:t>
          </m:r>
          <m:r>
            <m:t>  </m:t>
          </m:r>
          <m:r>
            <m:rPr>
              <m:sty m:val="p"/>
            </m:rPr>
            <m:t>(</m:t>
          </m:r>
          <m:r>
            <m:t>14</m:t>
          </m:r>
          <m:r>
            <m:rPr>
              <m:sty m:val="p"/>
            </m:rPr>
            <m:t>)</m:t>
          </m:r>
        </m:oMath>
      </m:oMathPara>
      <w:bookmarkEnd w:id="56"/>
    </w:p>
    <w:p>
      <w:pPr>
        <w:pStyle w:val="FirstParagraph"/>
      </w:pPr>
      <w:r>
        <w:t xml:space="preserve">A common relative metric is:</w:t>
      </w:r>
    </w:p>
    <w:p>
      <w:pPr>
        <w:pStyle w:val="BodyText"/>
      </w:pPr>
      <w:bookmarkStart w:id="57" w:name="eq-relative-closure"/>
      <m:oMathPara>
        <m:oMathParaPr>
          <m:jc m:val="center"/>
        </m:oMathParaPr>
        <m:oMath>
          <m:sSub>
            <m:e>
              <m:r>
                <m:t>e</m:t>
              </m:r>
            </m:e>
            <m:sub>
              <m:r>
                <m:rPr>
                  <m:sty m:val="p"/>
                </m:rPr>
                <m:t>r</m:t>
              </m:r>
              <m:r>
                <m:rPr>
                  <m:sty m:val="p"/>
                </m:rPr>
                <m:t>e</m:t>
              </m:r>
              <m:r>
                <m:rPr>
                  <m:sty m:val="p"/>
                </m:rPr>
                <m:t>l</m:t>
              </m:r>
            </m:sub>
          </m:sSub>
          <m:r>
            <m:rPr>
              <m:sty m:val="p"/>
            </m:rPr>
            <m:t>=</m:t>
          </m:r>
          <m:f>
            <m:fPr>
              <m:type m:val="bar"/>
            </m:fPr>
            <m:num>
              <m:r>
                <m:t>r</m:t>
              </m:r>
            </m:num>
            <m:den>
              <m:r>
                <m:rPr>
                  <m:sty m:val="p"/>
                </m:rPr>
                <m:t>∑</m:t>
              </m:r>
              <m:sSub>
                <m:e>
                  <m:acc>
                    <m:accPr>
                      <m:chr m:val="̇"/>
                    </m:accPr>
                    <m:e>
                      <m:r>
                        <m:t>m</m:t>
                      </m:r>
                    </m:e>
                  </m:acc>
                </m:e>
                <m:sub>
                  <m:r>
                    <m:rPr>
                      <m:sty m:val="p"/>
                    </m:rPr>
                    <m:t>i</m:t>
                  </m:r>
                  <m:r>
                    <m:rPr>
                      <m:sty m:val="p"/>
                    </m:rPr>
                    <m:t>n</m:t>
                  </m:r>
                </m:sub>
              </m:sSub>
            </m:den>
          </m:f>
          <m:r>
            <m:rPr>
              <m:sty m:val="p"/>
            </m:rPr>
            <m:t>×</m:t>
          </m:r>
          <m:r>
            <m:t>100</m:t>
          </m:r>
          <m:r>
            <m:rPr>
              <m:sty m:val="p"/>
            </m:rPr>
            <m:t>%</m:t>
          </m:r>
          <m:r>
            <m:rPr>
              <m:sty m:val="p"/>
            </m:rPr>
            <m:t>.</m:t>
          </m:r>
          <m:r>
            <m:t>  </m:t>
          </m:r>
          <m:r>
            <m:rPr>
              <m:sty m:val="p"/>
            </m:rPr>
            <m:t>(</m:t>
          </m:r>
          <m:r>
            <m:t>15</m:t>
          </m:r>
          <m:r>
            <m:rPr>
              <m:sty m:val="p"/>
            </m:rPr>
            <m:t>)</m:t>
          </m:r>
        </m:oMath>
      </m:oMathPara>
      <w:bookmarkEnd w:id="57"/>
    </w:p>
    <w:p>
      <w:pPr>
        <w:pStyle w:val="FirstParagraph"/>
      </w:pPr>
      <w:r>
        <w:t xml:space="preserve">The sign convention must be declared. Under this convention,</w:t>
      </w:r>
      <w:r>
        <w:t xml:space="preserve"> </w:t>
      </w:r>
      <m:oMath>
        <m:r>
          <m:t>r</m:t>
        </m:r>
        <m:r>
          <m:rPr>
            <m:sty m:val="p"/>
          </m:rPr>
          <m:t>&lt;</m:t>
        </m:r>
        <m:r>
          <m:t>0</m:t>
        </m:r>
      </m:oMath>
      <w:r>
        <w:t xml:space="preserve"> </w:t>
      </w:r>
      <w:r>
        <w:t xml:space="preserve">means measured outputs exceed measured inputs. This does not prove mass creation. It may reflect uncertainty, inventory discharge, period misalignment, omitted streams, or instrument bias.</w:t>
      </w:r>
    </w:p>
    <w:bookmarkEnd w:id="58"/>
    <w:bookmarkStart w:id="60" w:name="uncertainty-propagation"/>
    <w:p>
      <w:pPr>
        <w:pStyle w:val="Heading2"/>
      </w:pPr>
      <w:r>
        <w:t xml:space="preserve">Uncertainty propagation</w:t>
      </w:r>
    </w:p>
    <w:p>
      <w:pPr>
        <w:pStyle w:val="FirstParagraph"/>
      </w:pPr>
      <w:r>
        <w:t xml:space="preserve">Measurements are not exact. For independent flows with standard uncertainties</w:t>
      </w:r>
      <w:r>
        <w:t xml:space="preserve"> </w:t>
      </w:r>
      <m:oMath>
        <m:sSub>
          <m:e>
            <m:r>
              <m:t>u</m:t>
            </m:r>
          </m:e>
          <m:sub>
            <m:r>
              <m:t>j</m:t>
            </m:r>
          </m:sub>
        </m:sSub>
      </m:oMath>
      <w:r>
        <w:t xml:space="preserve">, a linear approximation to residual uncertainty is</w:t>
      </w:r>
      <w:r>
        <w:t xml:space="preserve"> </w:t>
      </w:r>
      <w:r>
        <w:t xml:space="preserve">(Joint Committee for Guides in Metrology 2008)</w:t>
      </w:r>
      <w:r>
        <w:t xml:space="preserve">:</w:t>
      </w:r>
    </w:p>
    <w:p>
      <w:pPr>
        <w:pStyle w:val="BodyText"/>
      </w:pPr>
      <w:bookmarkStart w:id="59" w:name="eq-uncertainty"/>
      <m:oMathPara>
        <m:oMathParaPr>
          <m:jc m:val="center"/>
        </m:oMathParaPr>
        <m:oMath>
          <m:sSub>
            <m:e>
              <m:r>
                <m:t>u</m:t>
              </m:r>
            </m:e>
            <m:sub>
              <m:r>
                <m:t>r</m:t>
              </m:r>
            </m:sub>
          </m:sSub>
          <m:r>
            <m:rPr>
              <m:sty m:val="p"/>
            </m:rPr>
            <m:t>=</m:t>
          </m:r>
          <m:rad>
            <m:radPr>
              <m:degHide m:val="on"/>
            </m:radPr>
            <m:deg/>
            <m:e>
              <m:nary>
                <m:naryPr>
                  <m:chr m:val="∑"/>
                  <m:limLoc m:val="undOvr"/>
                  <m:subHide m:val="off"/>
                  <m:supHide m:val="on"/>
                </m:naryPr>
                <m:sub>
                  <m:r>
                    <m:t>j</m:t>
                  </m:r>
                </m:sub>
                <m:sup>
                  <m:r>
                    <m:t>​</m:t>
                  </m:r>
                </m:sup>
                <m:e>
                  <m:sSup>
                    <m:e>
                      <m:d>
                        <m:dPr>
                          <m:begChr m:val="("/>
                          <m:sepChr m:val=""/>
                          <m:endChr m:val=")"/>
                          <m:grow/>
                        </m:dPr>
                        <m:e>
                          <m:f>
                            <m:fPr>
                              <m:type m:val="bar"/>
                            </m:fPr>
                            <m:num>
                              <m:r>
                                <m:rPr>
                                  <m:sty m:val="p"/>
                                </m:rPr>
                                <m:t>∂</m:t>
                              </m:r>
                              <m:r>
                                <m:t>r</m:t>
                              </m:r>
                            </m:num>
                            <m:den>
                              <m:r>
                                <m:rPr>
                                  <m:sty m:val="p"/>
                                </m:rPr>
                                <m:t>∂</m:t>
                              </m:r>
                              <m:sSub>
                                <m:e>
                                  <m:acc>
                                    <m:accPr>
                                      <m:chr m:val="̇"/>
                                    </m:accPr>
                                    <m:e>
                                      <m:r>
                                        <m:t>m</m:t>
                                      </m:r>
                                    </m:e>
                                  </m:acc>
                                </m:e>
                                <m:sub>
                                  <m:r>
                                    <m:t>j</m:t>
                                  </m:r>
                                </m:sub>
                              </m:sSub>
                            </m:den>
                          </m:f>
                        </m:e>
                      </m:d>
                    </m:e>
                    <m:sup>
                      <m:r>
                        <m:t>2</m:t>
                      </m:r>
                    </m:sup>
                  </m:sSup>
                </m:e>
              </m:nary>
              <m:sSubSup>
                <m:e>
                  <m:r>
                    <m:t>u</m:t>
                  </m:r>
                </m:e>
                <m:sub>
                  <m:r>
                    <m:t>j</m:t>
                  </m:r>
                </m:sub>
                <m:sup>
                  <m:r>
                    <m:t>2</m:t>
                  </m:r>
                </m:sup>
              </m:sSubSup>
            </m:e>
          </m:rad>
          <m:r>
            <m:rPr>
              <m:sty m:val="p"/>
            </m:rPr>
            <m:t>.</m:t>
          </m:r>
          <m:r>
            <m:t>  </m:t>
          </m:r>
          <m:r>
            <m:rPr>
              <m:sty m:val="p"/>
            </m:rPr>
            <m:t>(</m:t>
          </m:r>
          <m:r>
            <m:t>16</m:t>
          </m:r>
          <m:r>
            <m:rPr>
              <m:sty m:val="p"/>
            </m:rPr>
            <m:t>)</m:t>
          </m:r>
        </m:oMath>
      </m:oMathPara>
      <w:bookmarkEnd w:id="59"/>
    </w:p>
    <w:p>
      <w:pPr>
        <w:pStyle w:val="FirstParagraph"/>
      </w:pPr>
      <w:r>
        <w:t xml:space="preserve">For</w:t>
      </w:r>
      <w:r>
        <w:t xml:space="preserve"> </w:t>
      </w:r>
      <m:oMath>
        <m:r>
          <m:t>r</m:t>
        </m:r>
        <m:r>
          <m:rPr>
            <m:sty m:val="p"/>
          </m:rPr>
          <m:t>=</m:t>
        </m:r>
        <m:r>
          <m:t>F</m:t>
        </m:r>
        <m:r>
          <m:rPr>
            <m:sty m:val="p"/>
          </m:rPr>
          <m:t>−</m:t>
        </m:r>
        <m:r>
          <m:t>P</m:t>
        </m:r>
        <m:r>
          <m:rPr>
            <m:sty m:val="p"/>
          </m:rPr>
          <m:t>−</m:t>
        </m:r>
        <m:r>
          <m:t>L</m:t>
        </m:r>
      </m:oMath>
      <w:r>
        <w:t xml:space="preserve">, the derivatives are</w:t>
      </w:r>
      <w:r>
        <w:t xml:space="preserve"> </w:t>
      </w:r>
      <m:oMath>
        <m:r>
          <m:t>1</m:t>
        </m:r>
        <m:r>
          <m:rPr>
            <m:sty m:val="p"/>
          </m:rPr>
          <m:t>,</m:t>
        </m:r>
        <m:r>
          <m:rPr>
            <m:sty m:val="p"/>
          </m:rPr>
          <m:t>−</m:t>
        </m:r>
        <m:r>
          <m:t>1</m:t>
        </m:r>
        <m:r>
          <m:rPr>
            <m:sty m:val="p"/>
          </m:rPr>
          <m:t>,</m:t>
        </m:r>
        <m:r>
          <m:rPr>
            <m:sty m:val="p"/>
          </m:rPr>
          <m:t>−</m:t>
        </m:r>
        <m:r>
          <m:t>1</m:t>
        </m:r>
      </m:oMath>
      <w:r>
        <w:t xml:space="preserve">, hence:</w:t>
      </w:r>
    </w:p>
    <w:p>
      <w:pPr>
        <w:pStyle w:val="BodyText"/>
      </w:pPr>
      <m:oMathPara>
        <m:oMathParaPr>
          <m:jc m:val="center"/>
        </m:oMathParaPr>
        <m:oMath>
          <m:sSub>
            <m:e>
              <m:r>
                <m:t>u</m:t>
              </m:r>
            </m:e>
            <m:sub>
              <m:r>
                <m:t>r</m:t>
              </m:r>
            </m:sub>
          </m:sSub>
          <m:r>
            <m:rPr>
              <m:sty m:val="p"/>
            </m:rPr>
            <m:t>=</m:t>
          </m:r>
          <m:rad>
            <m:radPr>
              <m:degHide m:val="on"/>
            </m:radPr>
            <m:deg/>
            <m:e>
              <m:sSubSup>
                <m:e>
                  <m:r>
                    <m:t>u</m:t>
                  </m:r>
                </m:e>
                <m:sub>
                  <m:r>
                    <m:t>F</m:t>
                  </m:r>
                </m:sub>
                <m:sup>
                  <m:r>
                    <m:t>2</m:t>
                  </m:r>
                </m:sup>
              </m:sSubSup>
              <m:r>
                <m:rPr>
                  <m:sty m:val="p"/>
                </m:rPr>
                <m:t>+</m:t>
              </m:r>
              <m:sSubSup>
                <m:e>
                  <m:r>
                    <m:t>u</m:t>
                  </m:r>
                </m:e>
                <m:sub>
                  <m:r>
                    <m:t>P</m:t>
                  </m:r>
                </m:sub>
                <m:sup>
                  <m:r>
                    <m:t>2</m:t>
                  </m:r>
                </m:sup>
              </m:sSubSup>
              <m:r>
                <m:rPr>
                  <m:sty m:val="p"/>
                </m:rPr>
                <m:t>+</m:t>
              </m:r>
              <m:sSubSup>
                <m:e>
                  <m:r>
                    <m:t>u</m:t>
                  </m:r>
                </m:e>
                <m:sub>
                  <m:r>
                    <m:t>L</m:t>
                  </m:r>
                </m:sub>
                <m:sup>
                  <m:r>
                    <m:t>2</m:t>
                  </m:r>
                </m:sup>
              </m:sSubSup>
            </m:e>
          </m:rad>
          <m:r>
            <m:rPr>
              <m:sty m:val="p"/>
            </m:rPr>
            <m:t>.</m:t>
          </m:r>
        </m:oMath>
      </m:oMathPara>
    </w:p>
    <w:p>
      <w:pPr>
        <w:pStyle w:val="FirstParagraph"/>
      </w:pPr>
      <w:r>
        <w:t xml:space="preserve">For measured values</w:t>
      </w:r>
      <w:r>
        <w:t xml:space="preserve"> </w:t>
      </w:r>
      <m:oMath>
        <m:r>
          <m:t>F</m:t>
        </m:r>
        <m:r>
          <m:rPr>
            <m:sty m:val="p"/>
          </m:rPr>
          <m:t>=</m:t>
        </m:r>
        <m:r>
          <m:t>1000</m:t>
        </m:r>
      </m:oMath>
      <w:r>
        <w:t xml:space="preserve">,</w:t>
      </w:r>
      <w:r>
        <w:t xml:space="preserve"> </w:t>
      </w:r>
      <m:oMath>
        <m:r>
          <m:t>P</m:t>
        </m:r>
        <m:r>
          <m:rPr>
            <m:sty m:val="p"/>
          </m:rPr>
          <m:t>=</m:t>
        </m:r>
        <m:r>
          <m:t>365</m:t>
        </m:r>
      </m:oMath>
      <w:r>
        <w:t xml:space="preserve">, and</w:t>
      </w:r>
      <w:r>
        <w:t xml:space="preserve"> </w:t>
      </w:r>
      <m:oMath>
        <m:r>
          <m:t>L</m:t>
        </m:r>
        <m:r>
          <m:rPr>
            <m:sty m:val="p"/>
          </m:rPr>
          <m:t>=</m:t>
        </m:r>
        <m:r>
          <m:t>650</m:t>
        </m:r>
        <m:r>
          <m:t> </m:t>
        </m:r>
        <m:r>
          <m:rPr>
            <m:sty m:val="p"/>
          </m:rPr>
          <m:t>k</m:t>
        </m:r>
        <m:r>
          <m:rPr>
            <m:sty m:val="p"/>
          </m:rPr>
          <m:t>g</m:t>
        </m:r>
        <m:r>
          <m:rPr>
            <m:sty m:val="p"/>
          </m:rPr>
          <m:t>/</m:t>
        </m:r>
        <m:r>
          <m:rPr>
            <m:sty m:val="p"/>
          </m:rPr>
          <m:t>h</m:t>
        </m:r>
      </m:oMath>
      <w:r>
        <w:t xml:space="preserve">, with</w:t>
      </w:r>
      <w:r>
        <w:t xml:space="preserve"> </w:t>
      </w:r>
      <m:oMath>
        <m:sSub>
          <m:e>
            <m:r>
              <m:t>u</m:t>
            </m:r>
          </m:e>
          <m:sub>
            <m:r>
              <m:t>F</m:t>
            </m:r>
          </m:sub>
        </m:sSub>
        <m:r>
          <m:rPr>
            <m:sty m:val="p"/>
          </m:rPr>
          <m:t>=</m:t>
        </m:r>
        <m:r>
          <m:t>10</m:t>
        </m:r>
      </m:oMath>
      <w:r>
        <w:t xml:space="preserve">,</w:t>
      </w:r>
      <w:r>
        <w:t xml:space="preserve"> </w:t>
      </w:r>
      <m:oMath>
        <m:sSub>
          <m:e>
            <m:r>
              <m:t>u</m:t>
            </m:r>
          </m:e>
          <m:sub>
            <m:r>
              <m:t>P</m:t>
            </m:r>
          </m:sub>
        </m:sSub>
        <m:r>
          <m:rPr>
            <m:sty m:val="p"/>
          </m:rPr>
          <m:t>=</m:t>
        </m:r>
        <m:r>
          <m:t>7</m:t>
        </m:r>
      </m:oMath>
      <w:r>
        <w:t xml:space="preserve">, and</w:t>
      </w:r>
      <w:r>
        <w:t xml:space="preserve"> </w:t>
      </w:r>
      <m:oMath>
        <m:sSub>
          <m:e>
            <m:r>
              <m:t>u</m:t>
            </m:r>
          </m:e>
          <m:sub>
            <m:r>
              <m:t>L</m:t>
            </m:r>
          </m:sub>
        </m:sSub>
        <m:r>
          <m:rPr>
            <m:sty m:val="p"/>
          </m:rPr>
          <m:t>=</m:t>
        </m:r>
        <m:r>
          <m:t>8</m:t>
        </m:r>
        <m:r>
          <m:t> </m:t>
        </m:r>
        <m:r>
          <m:rPr>
            <m:sty m:val="p"/>
          </m:rPr>
          <m:t>k</m:t>
        </m:r>
        <m:r>
          <m:rPr>
            <m:sty m:val="p"/>
          </m:rPr>
          <m:t>g</m:t>
        </m:r>
        <m:r>
          <m:rPr>
            <m:sty m:val="p"/>
          </m:rPr>
          <m:t>/</m:t>
        </m:r>
        <m:r>
          <m:rPr>
            <m:sty m:val="p"/>
          </m:rPr>
          <m:t>h</m:t>
        </m:r>
      </m:oMath>
      <w:r>
        <w:t xml:space="preserve">:</w:t>
      </w:r>
    </w:p>
    <w:p>
      <w:pPr>
        <w:pStyle w:val="BodyText"/>
      </w:pPr>
      <m:oMathPara>
        <m:oMathParaPr>
          <m:jc m:val="center"/>
        </m:oMathParaPr>
        <m:oMath>
          <m:r>
            <m:t>r</m:t>
          </m:r>
          <m:r>
            <m:rPr>
              <m:sty m:val="p"/>
            </m:rPr>
            <m:t>=</m:t>
          </m:r>
          <m:r>
            <m:rPr>
              <m:sty m:val="p"/>
            </m:rPr>
            <m:t>−</m:t>
          </m:r>
          <m:r>
            <m:t>15.0</m:t>
          </m:r>
          <m:r>
            <m:t> </m:t>
          </m:r>
          <m:r>
            <m:rPr>
              <m:sty m:val="p"/>
            </m:rPr>
            <m:t>k</m:t>
          </m:r>
          <m:r>
            <m:rPr>
              <m:sty m:val="p"/>
            </m:rPr>
            <m:t>g</m:t>
          </m:r>
          <m:r>
            <m:rPr>
              <m:sty m:val="p"/>
            </m:rPr>
            <m:t>/</m:t>
          </m:r>
          <m:r>
            <m:rPr>
              <m:sty m:val="p"/>
            </m:rPr>
            <m:t>h</m:t>
          </m:r>
          <m:r>
            <m:rPr>
              <m:sty m:val="p"/>
            </m:rPr>
            <m:t>,</m:t>
          </m:r>
          <m:r>
            <m:t>  </m:t>
          </m:r>
          <m:sSub>
            <m:e>
              <m:r>
                <m:t>u</m:t>
              </m:r>
            </m:e>
            <m:sub>
              <m:r>
                <m:t>r</m:t>
              </m:r>
            </m:sub>
          </m:sSub>
          <m:r>
            <m:rPr>
              <m:sty m:val="p"/>
            </m:rPr>
            <m:t>=</m:t>
          </m:r>
          <m:r>
            <m:t>14.5945</m:t>
          </m:r>
          <m:r>
            <m:t> </m:t>
          </m:r>
          <m:r>
            <m:rPr>
              <m:sty m:val="p"/>
            </m:rPr>
            <m:t>k</m:t>
          </m:r>
          <m:r>
            <m:rPr>
              <m:sty m:val="p"/>
            </m:rPr>
            <m:t>g</m:t>
          </m:r>
          <m:r>
            <m:rPr>
              <m:sty m:val="p"/>
            </m:rPr>
            <m:t>/</m:t>
          </m:r>
          <m:r>
            <m:rPr>
              <m:sty m:val="p"/>
            </m:rPr>
            <m:t>h</m:t>
          </m:r>
          <m:r>
            <m:rPr>
              <m:sty m:val="p"/>
            </m:rPr>
            <m:t>,</m:t>
          </m:r>
          <m:r>
            <m:t>  </m:t>
          </m:r>
          <m:r>
            <m:t>z</m:t>
          </m:r>
          <m:r>
            <m:rPr>
              <m:sty m:val="p"/>
            </m:rPr>
            <m:t>=</m:t>
          </m:r>
          <m:r>
            <m:t>r</m:t>
          </m:r>
          <m:r>
            <m:rPr>
              <m:sty m:val="p"/>
            </m:rPr>
            <m:t>/</m:t>
          </m:r>
          <m:sSub>
            <m:e>
              <m:r>
                <m:t>u</m:t>
              </m:r>
            </m:e>
            <m:sub>
              <m:r>
                <m:t>r</m:t>
              </m:r>
            </m:sub>
          </m:sSub>
          <m:r>
            <m:rPr>
              <m:sty m:val="p"/>
            </m:rPr>
            <m:t>=</m:t>
          </m:r>
          <m:r>
            <m:rPr>
              <m:sty m:val="p"/>
            </m:rPr>
            <m:t>−</m:t>
          </m:r>
          <m:r>
            <m:t>1.028</m:t>
          </m:r>
          <m:r>
            <m:rPr>
              <m:sty m:val="p"/>
            </m:rPr>
            <m:t>.</m:t>
          </m:r>
        </m:oMath>
      </m:oMathPara>
    </w:p>
    <w:p>
      <w:pPr>
        <w:pStyle w:val="FirstParagraph"/>
      </w:pPr>
      <w:r>
        <w:t xml:space="preserve">The residual is nonzero, but its magnitude is close to one standard uncertainty. There is no basis for automatically declaring a leak. This also does not prove perfection; it only says the imbalance is plausible under the assumed uncertainty model.</w:t>
      </w:r>
    </w:p>
    <w:p>
      <w:pPr>
        <w:pStyle w:val="BodyText"/>
      </w:pPr>
      <w:r>
        <w:t xml:space="preserve">Correlations, common biases, and composition errors require covariance terms. Treating correlated measurements as independent can underestimate or overestimate closure uncertainty.</w:t>
      </w:r>
    </w:p>
    <w:bookmarkEnd w:id="60"/>
    <w:bookmarkEnd w:id="61"/>
    <w:bookmarkStart w:id="67" w:name="conceptual-data-reconciliation"/>
    <w:p>
      <w:pPr>
        <w:pStyle w:val="Heading1"/>
      </w:pPr>
      <w:r>
        <w:t xml:space="preserve">Conceptual data reconciliation</w:t>
      </w:r>
    </w:p>
    <w:p>
      <w:pPr>
        <w:pStyle w:val="FirstParagraph"/>
      </w:pPr>
      <w:r>
        <w:t xml:space="preserve">With redundant measurements,</w:t>
      </w:r>
      <w:r>
        <w:t xml:space="preserve"> </w:t>
      </w:r>
      <w:r>
        <w:rPr>
          <w:b/>
          <w:bCs/>
        </w:rPr>
        <w:t xml:space="preserve">data reconciliation</w:t>
      </w:r>
      <w:r>
        <w:t xml:space="preserve"> </w:t>
      </w:r>
      <w:r>
        <w:t xml:space="preserve">seeks adjusted values that satisfy physical constraints while departing as little as possible from measurements, weighted by reliability</w:t>
      </w:r>
      <w:r>
        <w:t xml:space="preserve"> </w:t>
      </w:r>
      <w:r>
        <w:t xml:space="preserve">(Tamhane and Mah 1985)</w:t>
      </w:r>
      <w:r>
        <w:t xml:space="preserve">. It is not a method for hiding error. It estimates the most plausible physically consistent values under an explicit uncertainty model.</w:t>
      </w:r>
    </w:p>
    <w:p>
      <w:pPr>
        <w:pStyle w:val="BodyText"/>
      </w:pPr>
      <w:r>
        <w:t xml:space="preserve">For measured vector</w:t>
      </w:r>
      <w:r>
        <w:t xml:space="preserve"> </w:t>
      </w:r>
      <m:oMath>
        <m:r>
          <m:rPr>
            <m:sty m:val="bi"/>
          </m:rPr>
          <m:t>y</m:t>
        </m:r>
        <m:r>
          <m:rPr>
            <m:sty m:val="p"/>
          </m:rPr>
          <m:t>=</m:t>
        </m:r>
        <m:r>
          <m:rPr>
            <m:sty m:val="p"/>
          </m:rPr>
          <m:t>[</m:t>
        </m:r>
        <m:r>
          <m:t>F</m:t>
        </m:r>
        <m:r>
          <m:rPr>
            <m:sty m:val="p"/>
          </m:rPr>
          <m:t>,</m:t>
        </m:r>
        <m:r>
          <m:t>P</m:t>
        </m:r>
        <m:r>
          <m:rPr>
            <m:sty m:val="p"/>
          </m:rPr>
          <m:t>,</m:t>
        </m:r>
        <m:r>
          <m:t>L</m:t>
        </m:r>
        <m:sSup>
          <m:e>
            <m:r>
              <m:rPr>
                <m:sty m:val="p"/>
              </m:rPr>
              <m:t>]</m:t>
            </m:r>
          </m:e>
          <m:sup>
            <m:r>
              <m:t>T</m:t>
            </m:r>
          </m:sup>
        </m:sSup>
      </m:oMath>
      <w:r>
        <w:t xml:space="preserve">, the linear constraint is</w:t>
      </w:r>
      <w:r>
        <w:t xml:space="preserve"> </w:t>
      </w:r>
      <m:oMath>
        <m:r>
          <m:rPr>
            <m:sty m:val="bi"/>
          </m:rPr>
          <m:t>A</m:t>
        </m:r>
        <m:sSup>
          <m:e>
            <m:r>
              <m:rPr>
                <m:sty m:val="bi"/>
              </m:rPr>
              <m:t>y</m:t>
            </m:r>
          </m:e>
          <m:sup>
            <m:r>
              <m:rPr>
                <m:sty m:val="p"/>
              </m:rPr>
              <m:t>*</m:t>
            </m:r>
          </m:sup>
        </m:sSup>
        <m:r>
          <m:rPr>
            <m:sty m:val="p"/>
          </m:rPr>
          <m:t>=</m:t>
        </m:r>
        <m:r>
          <m:t>0</m:t>
        </m:r>
      </m:oMath>
      <w:r>
        <w:t xml:space="preserve">, where</w:t>
      </w:r>
      <w:r>
        <w:t xml:space="preserve"> </w:t>
      </w:r>
      <m:oMath>
        <m:r>
          <m:rPr>
            <m:sty m:val="bi"/>
          </m:rPr>
          <m:t>A</m:t>
        </m:r>
        <m:r>
          <m:rPr>
            <m:sty m:val="p"/>
          </m:rPr>
          <m:t>=</m:t>
        </m:r>
        <m:r>
          <m:rPr>
            <m:sty m:val="p"/>
          </m:rPr>
          <m:t>[</m:t>
        </m:r>
        <m:r>
          <m:t>1</m:t>
        </m:r>
        <m:r>
          <m:rPr>
            <m:sty m:val="p"/>
          </m:rPr>
          <m:t>,</m:t>
        </m:r>
        <m:r>
          <m:rPr>
            <m:sty m:val="p"/>
          </m:rPr>
          <m:t>−</m:t>
        </m:r>
        <m:r>
          <m:t>1</m:t>
        </m:r>
        <m:r>
          <m:rPr>
            <m:sty m:val="p"/>
          </m:rPr>
          <m:t>,</m:t>
        </m:r>
        <m:r>
          <m:rPr>
            <m:sty m:val="p"/>
          </m:rPr>
          <m:t>−</m:t>
        </m:r>
        <m:r>
          <m:t>1</m:t>
        </m:r>
        <m:r>
          <m:rPr>
            <m:sty m:val="p"/>
          </m:rPr>
          <m:t>]</m:t>
        </m:r>
      </m:oMath>
      <w:r>
        <w:t xml:space="preserve">. If</w:t>
      </w:r>
      <w:r>
        <w:t xml:space="preserve"> </w:t>
      </w:r>
      <m:oMath>
        <m:r>
          <m:rPr>
            <m:sty m:val="b"/>
          </m:rPr>
          <m:t>Σ</m:t>
        </m:r>
      </m:oMath>
      <w:r>
        <w:t xml:space="preserve"> </w:t>
      </w:r>
      <w:r>
        <w:t xml:space="preserve">is the covariance matrix, the weighted solution is:</w:t>
      </w:r>
    </w:p>
    <w:p>
      <w:pPr>
        <w:pStyle w:val="BodyText"/>
      </w:pPr>
      <w:bookmarkStart w:id="62" w:name="eq-reconciliation"/>
      <m:oMathPara>
        <m:oMathParaPr>
          <m:jc m:val="center"/>
        </m:oMathParaPr>
        <m:oMath>
          <m:sSup>
            <m:e>
              <m:r>
                <m:rPr>
                  <m:sty m:val="bi"/>
                </m:rPr>
                <m:t>y</m:t>
              </m:r>
            </m:e>
            <m:sup>
              <m:r>
                <m:rPr>
                  <m:sty m:val="p"/>
                </m:rPr>
                <m:t>*</m:t>
              </m:r>
            </m:sup>
          </m:sSup>
          <m:r>
            <m:rPr>
              <m:sty m:val="p"/>
            </m:rPr>
            <m:t>=</m:t>
          </m:r>
          <m:r>
            <m:rPr>
              <m:sty m:val="bi"/>
            </m:rPr>
            <m:t>y</m:t>
          </m:r>
          <m:r>
            <m:rPr>
              <m:sty m:val="p"/>
            </m:rPr>
            <m:t>−</m:t>
          </m:r>
          <m:r>
            <m:rPr>
              <m:sty m:val="b"/>
            </m:rPr>
            <m:t>Σ</m:t>
          </m:r>
          <m:sSup>
            <m:e>
              <m:r>
                <m:rPr>
                  <m:sty m:val="bi"/>
                </m:rPr>
                <m:t>A</m:t>
              </m:r>
            </m:e>
            <m:sup>
              <m:r>
                <m:t>T</m:t>
              </m:r>
            </m:sup>
          </m:sSup>
          <m:sSup>
            <m:e>
              <m:d>
                <m:dPr>
                  <m:begChr m:val="("/>
                  <m:sepChr m:val=""/>
                  <m:endChr m:val=")"/>
                  <m:grow/>
                </m:dPr>
                <m:e>
                  <m:r>
                    <m:rPr>
                      <m:sty m:val="bi"/>
                    </m:rPr>
                    <m:t>A</m:t>
                  </m:r>
                  <m:r>
                    <m:rPr>
                      <m:sty m:val="b"/>
                    </m:rPr>
                    <m:t>Σ</m:t>
                  </m:r>
                  <m:sSup>
                    <m:e>
                      <m:r>
                        <m:rPr>
                          <m:sty m:val="bi"/>
                        </m:rPr>
                        <m:t>A</m:t>
                      </m:r>
                    </m:e>
                    <m:sup>
                      <m:r>
                        <m:t>T</m:t>
                      </m:r>
                    </m:sup>
                  </m:sSup>
                </m:e>
              </m:d>
            </m:e>
            <m:sup>
              <m:r>
                <m:rPr>
                  <m:sty m:val="p"/>
                </m:rPr>
                <m:t>−</m:t>
              </m:r>
              <m:r>
                <m:t>1</m:t>
              </m:r>
            </m:sup>
          </m:sSup>
          <m:r>
            <m:rPr>
              <m:sty m:val="bi"/>
            </m:rPr>
            <m:t>A</m:t>
          </m:r>
          <m:r>
            <m:rPr>
              <m:sty m:val="bi"/>
            </m:rPr>
            <m:t>y</m:t>
          </m:r>
          <m:r>
            <m:rPr>
              <m:sty m:val="p"/>
            </m:rPr>
            <m:t>.</m:t>
          </m:r>
          <m:r>
            <m:t>  </m:t>
          </m:r>
          <m:r>
            <m:rPr>
              <m:sty m:val="p"/>
            </m:rPr>
            <m:t>(</m:t>
          </m:r>
          <m:r>
            <m:t>17</m:t>
          </m:r>
          <m:r>
            <m:rPr>
              <m:sty m:val="p"/>
            </m:rPr>
            <m:t>)</m:t>
          </m:r>
        </m:oMath>
      </m:oMathPara>
      <w:bookmarkEnd w:id="62"/>
    </w:p>
    <w:tbl>
      <w:tblPr>
        <w:tblStyle w:val="Table"/>
        <w:tblW w:type="pct" w:w="5000"/>
        <w:tblLayout w:type="fixed"/>
        <w:tblLook w:firstRow="0" w:lastRow="0" w:firstColumn="0" w:lastColumn="0" w:noHBand="0" w:noVBand="0" w:val="0000"/>
      </w:tblPr>
      <w:tblGrid>
        <w:gridCol w:w="7920"/>
      </w:tblGrid>
      <w:tr>
        <w:tc>
          <w:tcPr/>
          <w:bookmarkStart w:id="66" w:name="fig-reconciliation"/>
          <w:p>
            <w:pPr>
              <w:pStyle w:val="Compact"/>
              <w:jc w:val="center"/>
            </w:pPr>
            <w:r>
              <w:drawing>
                <wp:inline>
                  <wp:extent cx="4693920" cy="3081603"/>
                  <wp:effectExtent b="0" l="0" r="0" t="0"/>
                  <wp:docPr descr="" title="" id="64" name="Picture"/>
                  <a:graphic>
                    <a:graphicData uri="http://schemas.openxmlformats.org/drawingml/2006/picture">
                      <pic:pic>
                        <pic:nvPicPr>
                          <pic:cNvPr descr="../../../assets/NS-SBTP-PSF-001-v2.0/fig05_reconciliation.png" id="65" name="Picture"/>
                          <pic:cNvPicPr>
                            <a:picLocks noChangeArrowheads="1" noChangeAspect="1"/>
                          </pic:cNvPicPr>
                        </pic:nvPicPr>
                        <pic:blipFill>
                          <a:blip r:embed="rId63"/>
                          <a:stretch>
                            <a:fillRect/>
                          </a:stretch>
                        </pic:blipFill>
                        <pic:spPr bwMode="auto">
                          <a:xfrm>
                            <a:off x="0" y="0"/>
                            <a:ext cx="4693920" cy="3081603"/>
                          </a:xfrm>
                          <a:prstGeom prst="rect">
                            <a:avLst/>
                          </a:prstGeom>
                          <a:noFill/>
                          <a:ln w="9525">
                            <a:noFill/>
                            <a:headEnd/>
                            <a:tailEnd/>
                          </a:ln>
                        </pic:spPr>
                      </pic:pic>
                    </a:graphicData>
                  </a:graphic>
                </wp:inline>
              </w:drawing>
            </w:r>
          </w:p>
          <w:p>
            <w:pPr>
              <w:jc w:val="center"/>
            </w:pPr>
            <w:pPr>
              <w:jc w:val="left"/>
              <w:spacing w:before="200"/>
              <w:pStyle w:val="ImageCaption"/>
            </w:pPr>
            <w:r>
              <w:t xml:space="preserve">Figure 5: Measured and reconciled values. Error bars are standard uncertainties for the pedagogical case.</w:t>
            </w:r>
          </w:p>
          <w:bookmarkEnd w:id="66"/>
        </w:tc>
      </w:tr>
    </w:tbl>
    <w:p>
      <w:pPr>
        <w:pStyle w:val="BodyText"/>
      </w:pPr>
      <w:r>
        <w:t xml:space="preserve">The result is</w:t>
      </w:r>
      <w:r>
        <w:t xml:space="preserve"> </w:t>
      </w:r>
      <m:oMath>
        <m:sSup>
          <m:e>
            <m:r>
              <m:t>F</m:t>
            </m:r>
          </m:e>
          <m:sup>
            <m:r>
              <m:rPr>
                <m:sty m:val="p"/>
              </m:rPr>
              <m:t>*</m:t>
            </m:r>
          </m:sup>
        </m:sSup>
        <m:r>
          <m:rPr>
            <m:sty m:val="p"/>
          </m:rPr>
          <m:t>=</m:t>
        </m:r>
        <m:r>
          <m:t>1007.0423</m:t>
        </m:r>
      </m:oMath>
      <w:r>
        <w:t xml:space="preserve">,</w:t>
      </w:r>
      <w:r>
        <w:t xml:space="preserve"> </w:t>
      </w:r>
      <m:oMath>
        <m:sSup>
          <m:e>
            <m:r>
              <m:t>P</m:t>
            </m:r>
          </m:e>
          <m:sup>
            <m:r>
              <m:rPr>
                <m:sty m:val="p"/>
              </m:rPr>
              <m:t>*</m:t>
            </m:r>
          </m:sup>
        </m:sSup>
        <m:r>
          <m:rPr>
            <m:sty m:val="p"/>
          </m:rPr>
          <m:t>=</m:t>
        </m:r>
        <m:r>
          <m:t>361.5493</m:t>
        </m:r>
      </m:oMath>
      <w:r>
        <w:t xml:space="preserve">, and</w:t>
      </w:r>
      <w:r>
        <w:t xml:space="preserve"> </w:t>
      </w:r>
      <m:oMath>
        <m:sSup>
          <m:e>
            <m:r>
              <m:t>L</m:t>
            </m:r>
          </m:e>
          <m:sup>
            <m:r>
              <m:rPr>
                <m:sty m:val="p"/>
              </m:rPr>
              <m:t>*</m:t>
            </m:r>
          </m:sup>
        </m:sSup>
        <m:r>
          <m:rPr>
            <m:sty m:val="p"/>
          </m:rPr>
          <m:t>=</m:t>
        </m:r>
        <m:r>
          <m:t>645.4930</m:t>
        </m:r>
        <m:r>
          <m:t> </m:t>
        </m:r>
        <m:r>
          <m:rPr>
            <m:sty m:val="p"/>
          </m:rPr>
          <m:t>k</m:t>
        </m:r>
        <m:r>
          <m:rPr>
            <m:sty m:val="p"/>
          </m:rPr>
          <m:t>g</m:t>
        </m:r>
        <m:r>
          <m:rPr>
            <m:sty m:val="p"/>
          </m:rPr>
          <m:t>/</m:t>
        </m:r>
        <m:r>
          <m:rPr>
            <m:sty m:val="p"/>
          </m:rPr>
          <m:t>h</m:t>
        </m:r>
      </m:oMath>
      <w:r>
        <w:t xml:space="preserve">, with zero numerical residual. Feed has the largest absolute uncertainty and receives the largest adjustment. This follows the weighting logic: a less precise measurement may move more than a precise one.</w:t>
      </w:r>
    </w:p>
    <w:p>
      <w:pPr>
        <w:pStyle w:val="BodyText"/>
      </w:pPr>
      <w:r>
        <w:t xml:space="preserve">Reconciliation cannot repair an incomplete model. If a real stream is missing, imposing</w:t>
      </w:r>
      <w:r>
        <w:t xml:space="preserve"> </w:t>
      </w:r>
      <m:oMath>
        <m:r>
          <m:t>F</m:t>
        </m:r>
        <m:r>
          <m:rPr>
            <m:sty m:val="p"/>
          </m:rPr>
          <m:t>−</m:t>
        </m:r>
        <m:r>
          <m:t>P</m:t>
        </m:r>
        <m:r>
          <m:rPr>
            <m:sty m:val="p"/>
          </m:rPr>
          <m:t>−</m:t>
        </m:r>
        <m:r>
          <m:t>L</m:t>
        </m:r>
        <m:r>
          <m:rPr>
            <m:sty m:val="p"/>
          </m:rPr>
          <m:t>=</m:t>
        </m:r>
        <m:r>
          <m:t>0</m:t>
        </m:r>
      </m:oMath>
      <w:r>
        <w:t xml:space="preserve"> </w:t>
      </w:r>
      <w:r>
        <w:t xml:space="preserve">redistributes its mass artificially among instruments. Boundary, regime, inventory, and topology must be validated first. Gross-error detection and reconciliation are related, but not identical, problems.</w:t>
      </w:r>
    </w:p>
    <w:bookmarkEnd w:id="67"/>
    <w:bookmarkStart w:id="68" w:name="diagnostic-patterns"/>
    <w:p>
      <w:pPr>
        <w:pStyle w:val="Heading1"/>
      </w:pPr>
      <w:r>
        <w:t xml:space="preserve">Diagnostic patterns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Observed pattern</w:t>
            </w:r>
          </w:p>
        </w:tc>
        <w:tc>
          <w:tcPr/>
          <w:p>
            <w:pPr>
              <w:pStyle w:val="Compact"/>
            </w:pPr>
            <w:r>
              <w:t xml:space="preserve">Possible hypotheses</w:t>
            </w:r>
          </w:p>
        </w:tc>
        <w:tc>
          <w:tcPr/>
          <w:p>
            <w:pPr>
              <w:pStyle w:val="Compact"/>
            </w:pPr>
            <w:r>
              <w:t xml:space="preserve">Useful check</w:t>
            </w:r>
          </w:p>
        </w:tc>
      </w:tr>
      <w:tr>
        <w:tc>
          <w:tcPr/>
          <w:p>
            <w:pPr>
              <w:pStyle w:val="Compact"/>
            </w:pPr>
            <w:r>
              <w:t xml:space="preserve">residual has constant sign</w:t>
            </w:r>
          </w:p>
        </w:tc>
        <w:tc>
          <w:tcPr/>
          <w:p>
            <w:pPr>
              <w:pStyle w:val="Compact"/>
            </w:pPr>
            <w:r>
              <w:t xml:space="preserve">instrument bias, omitted stream</w:t>
            </w:r>
          </w:p>
        </w:tc>
        <w:tc>
          <w:tcPr/>
          <w:p>
            <w:pPr>
              <w:pStyle w:val="Compact"/>
            </w:pPr>
            <w:r>
              <w:t xml:space="preserve">independent measurement or standard</w:t>
            </w:r>
          </w:p>
        </w:tc>
      </w:tr>
      <w:tr>
        <w:tc>
          <w:tcPr/>
          <w:p>
            <w:pPr>
              <w:pStyle w:val="Compact"/>
            </w:pPr>
            <w:r>
              <w:t xml:space="preserve">residual follows tank level</w:t>
            </w:r>
          </w:p>
        </w:tc>
        <w:tc>
          <w:tcPr/>
          <w:p>
            <w:pPr>
              <w:pStyle w:val="Compact"/>
            </w:pPr>
            <w:r>
              <w:t xml:space="preserve">unmodeled accumulation</w:t>
            </w:r>
          </w:p>
        </w:tc>
        <w:tc>
          <w:tcPr/>
          <w:p>
            <w:pPr>
              <w:pStyle w:val="Compact"/>
            </w:pPr>
            <w:r>
              <w:t xml:space="preserve">include initial and final inventory</w:t>
            </w:r>
          </w:p>
        </w:tc>
      </w:tr>
      <w:tr>
        <w:tc>
          <w:tcPr/>
          <w:p>
            <w:pPr>
              <w:pStyle w:val="Compact"/>
            </w:pPr>
            <w:r>
              <w:t xml:space="preserve">total closes, component does not</w:t>
            </w:r>
          </w:p>
        </w:tc>
        <w:tc>
          <w:tcPr/>
          <w:p>
            <w:pPr>
              <w:pStyle w:val="Compact"/>
            </w:pPr>
            <w:r>
              <w:t xml:space="preserve">sampling, composition, reaction, segregation</w:t>
            </w:r>
          </w:p>
        </w:tc>
        <w:tc>
          <w:tcPr/>
          <w:p>
            <w:pPr>
              <w:pStyle w:val="Compact"/>
            </w:pPr>
            <w:r>
              <w:t xml:space="preserve">align samples and review analytical basis</w:t>
            </w:r>
          </w:p>
        </w:tc>
      </w:tr>
      <w:tr>
        <w:tc>
          <w:tcPr/>
          <w:p>
            <w:pPr>
              <w:pStyle w:val="Compact"/>
            </w:pPr>
            <w:r>
              <w:t xml:space="preserve">spikes occur at startup or lot change</w:t>
            </w:r>
          </w:p>
        </w:tc>
        <w:tc>
          <w:tcPr/>
          <w:p>
            <w:pPr>
              <w:pStyle w:val="Compact"/>
            </w:pPr>
            <w:r>
              <w:t xml:space="preserve">transient regime</w:t>
            </w:r>
          </w:p>
        </w:tc>
        <w:tc>
          <w:tcPr/>
          <w:p>
            <w:pPr>
              <w:pStyle w:val="Compact"/>
            </w:pPr>
            <w:r>
              <w:t xml:space="preserve">integral form and coherent window</w:t>
            </w:r>
          </w:p>
        </w:tc>
      </w:tr>
      <w:tr>
        <w:tc>
          <w:tcPr/>
          <w:p>
            <w:pPr>
              <w:pStyle w:val="Compact"/>
            </w:pPr>
            <w:r>
              <w:t xml:space="preserve">error grows as compositions converge</w:t>
            </w:r>
          </w:p>
        </w:tc>
        <w:tc>
          <w:tcPr/>
          <w:p>
            <w:pPr>
              <w:pStyle w:val="Compact"/>
            </w:pPr>
            <w:r>
              <w:t xml:space="preserve">poor mathematical conditioning</w:t>
            </w:r>
          </w:p>
        </w:tc>
        <w:tc>
          <w:tcPr/>
          <w:p>
            <w:pPr>
              <w:pStyle w:val="Compact"/>
            </w:pPr>
            <w:r>
              <w:t xml:space="preserve">sensitivity analysis and better analytics</w:t>
            </w:r>
          </w:p>
        </w:tc>
      </w:tr>
      <w:tr>
        <w:tc>
          <w:tcPr/>
          <w:p>
            <w:pPr>
              <w:pStyle w:val="Compact"/>
            </w:pPr>
            <w:r>
              <w:t xml:space="preserve">reconciliation demands extreme corrections</w:t>
            </w:r>
          </w:p>
        </w:tc>
        <w:tc>
          <w:tcPr/>
          <w:p>
            <w:pPr>
              <w:pStyle w:val="Compact"/>
            </w:pPr>
            <w:r>
              <w:t xml:space="preserve">gross error or wrong topology</w:t>
            </w:r>
          </w:p>
        </w:tc>
        <w:tc>
          <w:tcPr/>
          <w:p>
            <w:pPr>
              <w:pStyle w:val="Compact"/>
            </w:pPr>
            <w:r>
              <w:t xml:space="preserve">consistency test before accepting estimates</w:t>
            </w:r>
          </w:p>
        </w:tc>
      </w:tr>
    </w:tbl>
    <w:p>
      <w:pPr>
        <w:pStyle w:val="BodyText"/>
      </w:pPr>
      <w:r>
        <w:t xml:space="preserve">A fixed acceptance limit such as ±1% may be practical, but is not universal. One percent may be negligible compared with one system’s uncertainty and critical in another. Criteria should reflect magnitude, uncertainty, time, risk, and intended use.</w:t>
      </w:r>
    </w:p>
    <w:bookmarkEnd w:id="68"/>
    <w:bookmarkStart w:id="69" w:name="X8d50f046ad128d6176e9e07d81ffca3fda51845"/>
    <w:p>
      <w:pPr>
        <w:pStyle w:val="Heading1"/>
      </w:pPr>
      <w:r>
        <w:t xml:space="preserve">From physical balance to digital traceability</w:t>
      </w:r>
    </w:p>
    <w:p>
      <w:pPr>
        <w:pStyle w:val="FirstParagraph"/>
      </w:pPr>
      <w:r>
        <w:t xml:space="preserve">Traceability records identities and events; mass balance verifies quantities. Connecting them requires each transformation event to include at least:</w:t>
      </w:r>
    </w:p>
    <w:p>
      <w:pPr>
        <w:pStyle w:val="Compact"/>
        <w:numPr>
          <w:ilvl w:val="0"/>
          <w:numId w:val="1004"/>
        </w:numPr>
      </w:pPr>
      <w:r>
        <w:t xml:space="preserve">lot or stream identifier;</w:t>
      </w:r>
    </w:p>
    <w:p>
      <w:pPr>
        <w:pStyle w:val="Compact"/>
        <w:numPr>
          <w:ilvl w:val="0"/>
          <w:numId w:val="1004"/>
        </w:numPr>
      </w:pPr>
      <w:r>
        <w:t xml:space="preserve">quantity and unit;</w:t>
      </w:r>
    </w:p>
    <w:p>
      <w:pPr>
        <w:pStyle w:val="Compact"/>
        <w:numPr>
          <w:ilvl w:val="0"/>
          <w:numId w:val="1004"/>
        </w:numPr>
      </w:pPr>
      <w:r>
        <w:t xml:space="preserve">time or interval;</w:t>
      </w:r>
    </w:p>
    <w:p>
      <w:pPr>
        <w:pStyle w:val="Compact"/>
        <w:numPr>
          <w:ilvl w:val="0"/>
          <w:numId w:val="1004"/>
        </w:numPr>
      </w:pPr>
      <w:r>
        <w:t xml:space="preserve">relevant composition or attribute;</w:t>
      </w:r>
    </w:p>
    <w:p>
      <w:pPr>
        <w:pStyle w:val="Compact"/>
        <w:numPr>
          <w:ilvl w:val="0"/>
          <w:numId w:val="1004"/>
        </w:numPr>
      </w:pPr>
      <w:r>
        <w:t xml:space="preserve">equipment, location, and boundary;</w:t>
      </w:r>
    </w:p>
    <w:p>
      <w:pPr>
        <w:pStyle w:val="Compact"/>
        <w:numPr>
          <w:ilvl w:val="0"/>
          <w:numId w:val="1004"/>
        </w:numPr>
      </w:pPr>
      <w:r>
        <w:t xml:space="preserve">relationships among inputs, outputs, and inventories;</w:t>
      </w:r>
    </w:p>
    <w:p>
      <w:pPr>
        <w:pStyle w:val="Compact"/>
        <w:numPr>
          <w:ilvl w:val="0"/>
          <w:numId w:val="1004"/>
        </w:numPr>
      </w:pPr>
      <w:r>
        <w:t xml:space="preserve">measurement state, uncertainty, and provenance;</w:t>
      </w:r>
    </w:p>
    <w:p>
      <w:pPr>
        <w:pStyle w:val="Compact"/>
        <w:numPr>
          <w:ilvl w:val="0"/>
          <w:numId w:val="1004"/>
        </w:numPr>
      </w:pPr>
      <w:r>
        <w:t xml:space="preserve">conversion rule when the basis changes.</w:t>
      </w:r>
    </w:p>
    <w:p>
      <w:pPr>
        <w:pStyle w:val="FirstParagraph"/>
      </w:pPr>
      <w:r>
        <w:t xml:space="preserve">A digital chain can be chronologically complete yet physically impossible. Recording 1,050 kg of products from 1,000 kg of inputs without discharged inventory or an added stream preserves events but not matter. Conversely, an overall balance may close while lot identities are exchanged. Robust traceability requires both</w:t>
      </w:r>
      <w:r>
        <w:t xml:space="preserve"> </w:t>
      </w:r>
      <w:r>
        <w:rPr>
          <w:b/>
          <w:bCs/>
        </w:rPr>
        <w:t xml:space="preserve">identity continuity and quantitative continuity</w:t>
      </w:r>
      <w:r>
        <w:t xml:space="preserve">.</w:t>
      </w:r>
    </w:p>
    <w:p>
      <w:pPr>
        <w:pStyle w:val="BodyText"/>
      </w:pPr>
      <w:r>
        <w:t xml:space="preserve">In an architecture such as Nebula OriginBlok®, mass balance can act as an event-validation rule: output quantities, inventory change, and justified losses should be compatible with inputs within documented tolerances. This is a conceptual consequence of conservation, not a claim about commercial performance or a specific implementation dataset.</w:t>
      </w:r>
    </w:p>
    <w:bookmarkEnd w:id="69"/>
    <w:bookmarkStart w:id="70" w:name="a-twelve-step-working-method"/>
    <w:p>
      <w:pPr>
        <w:pStyle w:val="Heading1"/>
      </w:pPr>
      <w:r>
        <w:t xml:space="preserve">A twelve-step working method</w:t>
      </w:r>
    </w:p>
    <w:p>
      <w:pPr>
        <w:pStyle w:val="Compact"/>
        <w:numPr>
          <w:ilvl w:val="0"/>
          <w:numId w:val="1005"/>
        </w:numPr>
      </w:pPr>
      <w:r>
        <w:rPr>
          <w:b/>
          <w:bCs/>
        </w:rPr>
        <w:t xml:space="preserve">Define the question.</w:t>
      </w:r>
      <w:r>
        <w:t xml:space="preserve"> </w:t>
      </w:r>
      <w:r>
        <w:t xml:space="preserve">Is the purpose design, verification, reconciliation, diagnosis, or traceability?</w:t>
      </w:r>
    </w:p>
    <w:p>
      <w:pPr>
        <w:pStyle w:val="Compact"/>
        <w:numPr>
          <w:ilvl w:val="0"/>
          <w:numId w:val="1005"/>
        </w:numPr>
      </w:pPr>
      <w:r>
        <w:rPr>
          <w:b/>
          <w:bCs/>
        </w:rPr>
        <w:t xml:space="preserve">Draw the boundary.</w:t>
      </w:r>
      <w:r>
        <w:t xml:space="preserve"> </w:t>
      </w:r>
      <w:r>
        <w:t xml:space="preserve">Mark inputs, outputs, inventories, and potential omitted streams.</w:t>
      </w:r>
    </w:p>
    <w:p>
      <w:pPr>
        <w:pStyle w:val="Compact"/>
        <w:numPr>
          <w:ilvl w:val="0"/>
          <w:numId w:val="1005"/>
        </w:numPr>
      </w:pPr>
      <w:r>
        <w:rPr>
          <w:b/>
          <w:bCs/>
        </w:rPr>
        <w:t xml:space="preserve">Fix time and basis.</w:t>
      </w:r>
      <w:r>
        <w:t xml:space="preserve"> </w:t>
      </w:r>
      <w:r>
        <w:t xml:space="preserve">Declare batch, hour, day, and wet or dry basis.</w:t>
      </w:r>
    </w:p>
    <w:p>
      <w:pPr>
        <w:pStyle w:val="Compact"/>
        <w:numPr>
          <w:ilvl w:val="0"/>
          <w:numId w:val="1005"/>
        </w:numPr>
      </w:pPr>
      <w:r>
        <w:rPr>
          <w:b/>
          <w:bCs/>
        </w:rPr>
        <w:t xml:space="preserve">List components.</w:t>
      </w:r>
      <w:r>
        <w:t xml:space="preserve"> </w:t>
      </w:r>
      <w:r>
        <w:t xml:space="preserve">Define each fraction and verify that fractions sum to one.</w:t>
      </w:r>
    </w:p>
    <w:p>
      <w:pPr>
        <w:pStyle w:val="Compact"/>
        <w:numPr>
          <w:ilvl w:val="0"/>
          <w:numId w:val="1005"/>
        </w:numPr>
      </w:pPr>
      <w:r>
        <w:rPr>
          <w:b/>
          <w:bCs/>
        </w:rPr>
        <w:t xml:space="preserve">Classify the regime.</w:t>
      </w:r>
      <w:r>
        <w:t xml:space="preserve"> </w:t>
      </w:r>
      <w:r>
        <w:t xml:space="preserve">Steady, transient, or quasi-steady.</w:t>
      </w:r>
    </w:p>
    <w:p>
      <w:pPr>
        <w:pStyle w:val="Compact"/>
        <w:numPr>
          <w:ilvl w:val="0"/>
          <w:numId w:val="1005"/>
        </w:numPr>
      </w:pPr>
      <w:r>
        <w:rPr>
          <w:b/>
          <w:bCs/>
        </w:rPr>
        <w:t xml:space="preserve">Write the general form first.</w:t>
      </w:r>
      <w:r>
        <w:t xml:space="preserve"> </w:t>
      </w:r>
      <w:r>
        <w:t xml:space="preserve">Simplify only after justifying every removed term.</w:t>
      </w:r>
    </w:p>
    <w:p>
      <w:pPr>
        <w:pStyle w:val="Compact"/>
        <w:numPr>
          <w:ilvl w:val="0"/>
          <w:numId w:val="1005"/>
        </w:numPr>
      </w:pPr>
      <w:r>
        <w:rPr>
          <w:b/>
          <w:bCs/>
        </w:rPr>
        <w:t xml:space="preserve">Count degrees of freedom.</w:t>
      </w:r>
      <w:r>
        <w:t xml:space="preserve"> </w:t>
      </w:r>
      <w:r>
        <w:t xml:space="preserve">Separate measurements, specifications, and unknowns.</w:t>
      </w:r>
    </w:p>
    <w:p>
      <w:pPr>
        <w:pStyle w:val="Compact"/>
        <w:numPr>
          <w:ilvl w:val="0"/>
          <w:numId w:val="1005"/>
        </w:numPr>
      </w:pPr>
      <w:r>
        <w:rPr>
          <w:b/>
          <w:bCs/>
        </w:rPr>
        <w:t xml:space="preserve">Solve with visible units.</w:t>
      </w:r>
      <w:r>
        <w:t xml:space="preserve"> </w:t>
      </w:r>
      <w:r>
        <w:t xml:space="preserve">Avoid dimensionless numbers during substitution.</w:t>
      </w:r>
    </w:p>
    <w:p>
      <w:pPr>
        <w:pStyle w:val="Compact"/>
        <w:numPr>
          <w:ilvl w:val="0"/>
          <w:numId w:val="1005"/>
        </w:numPr>
      </w:pPr>
      <w:r>
        <w:rPr>
          <w:b/>
          <w:bCs/>
        </w:rPr>
        <w:t xml:space="preserve">Check independent balances.</w:t>
      </w:r>
      <w:r>
        <w:t xml:space="preserve"> </w:t>
      </w:r>
      <w:r>
        <w:t xml:space="preserve">Total, components, and elements when appropriate.</w:t>
      </w:r>
    </w:p>
    <w:p>
      <w:pPr>
        <w:pStyle w:val="Compact"/>
        <w:numPr>
          <w:ilvl w:val="0"/>
          <w:numId w:val="1005"/>
        </w:numPr>
      </w:pPr>
      <w:r>
        <w:rPr>
          <w:b/>
          <w:bCs/>
        </w:rPr>
        <w:t xml:space="preserve">Calculate residual and uncertainty.</w:t>
      </w:r>
      <w:r>
        <w:t xml:space="preserve"> </w:t>
      </w:r>
      <w:r>
        <w:t xml:space="preserve">Do not interpret closure without metrology.</w:t>
      </w:r>
    </w:p>
    <w:p>
      <w:pPr>
        <w:pStyle w:val="Compact"/>
        <w:numPr>
          <w:ilvl w:val="0"/>
          <w:numId w:val="1005"/>
        </w:numPr>
      </w:pPr>
      <w:r>
        <w:rPr>
          <w:b/>
          <w:bCs/>
        </w:rPr>
        <w:t xml:space="preserve">Examine sensitivity and limits.</w:t>
      </w:r>
      <w:r>
        <w:t xml:space="preserve"> </w:t>
      </w:r>
      <w:r>
        <w:t xml:space="preserve">Identify dominant inputs and singularities.</w:t>
      </w:r>
    </w:p>
    <w:p>
      <w:pPr>
        <w:pStyle w:val="Compact"/>
        <w:numPr>
          <w:ilvl w:val="0"/>
          <w:numId w:val="1005"/>
        </w:numPr>
      </w:pPr>
      <w:r>
        <w:rPr>
          <w:b/>
          <w:bCs/>
        </w:rPr>
        <w:t xml:space="preserve">Document provenance.</w:t>
      </w:r>
      <w:r>
        <w:t xml:space="preserve"> </w:t>
      </w:r>
      <w:r>
        <w:t xml:space="preserve">Preserve data, code, parameters, versions, and decisions.</w:t>
      </w:r>
    </w:p>
    <w:p>
      <w:pPr>
        <w:pStyle w:val="FirstParagraph"/>
      </w:pPr>
      <w:r>
        <w:t xml:space="preserve">This sequence avoids a common failure: beginning with algebra before defining the process. A precisely solved equation can still describe the wrong boundary.</w:t>
      </w:r>
    </w:p>
    <w:bookmarkEnd w:id="70"/>
    <w:bookmarkStart w:id="71" w:name="assumptions-limits-and-permitted-claims"/>
    <w:p>
      <w:pPr>
        <w:pStyle w:val="Heading1"/>
      </w:pPr>
      <w:r>
        <w:t xml:space="preserve">Assumptions, limits, and permitted claims</w:t>
      </w:r>
    </w:p>
    <w:p>
      <w:pPr>
        <w:pStyle w:val="FirstParagraph"/>
      </w:pPr>
      <w:r>
        <w:t xml:space="preserve">The three cases are pedagogical and deterministic. They neither validate a technology nor describe a facility. The separator illustrates steady balances; the tank illustrates ideal dynamics; reconciliation illustrates a linear estimator with independent uncertainties.</w:t>
      </w:r>
    </w:p>
    <w:p>
      <w:pPr>
        <w:pStyle w:val="BodyText"/>
      </w:pPr>
      <w:r>
        <w:t xml:space="preserve">The conclusions cease to apply when:</w:t>
      </w:r>
    </w:p>
    <w:p>
      <w:pPr>
        <w:pStyle w:val="Compact"/>
        <w:numPr>
          <w:ilvl w:val="0"/>
          <w:numId w:val="1006"/>
        </w:numPr>
      </w:pPr>
      <w:r>
        <w:t xml:space="preserve">reaction affects components and stoichiometric terms are omitted;</w:t>
      </w:r>
    </w:p>
    <w:p>
      <w:pPr>
        <w:pStyle w:val="Compact"/>
        <w:numPr>
          <w:ilvl w:val="0"/>
          <w:numId w:val="1006"/>
        </w:numPr>
      </w:pPr>
      <w:r>
        <w:t xml:space="preserve">the boundary changes during the interval;</w:t>
      </w:r>
    </w:p>
    <w:p>
      <w:pPr>
        <w:pStyle w:val="Compact"/>
        <w:numPr>
          <w:ilvl w:val="0"/>
          <w:numId w:val="1006"/>
        </w:numPr>
      </w:pPr>
      <w:r>
        <w:t xml:space="preserve">inventories are not measured or estimated;</w:t>
      </w:r>
    </w:p>
    <w:p>
      <w:pPr>
        <w:pStyle w:val="Compact"/>
        <w:numPr>
          <w:ilvl w:val="0"/>
          <w:numId w:val="1006"/>
        </w:numPr>
      </w:pPr>
      <w:r>
        <w:t xml:space="preserve">compositions do not share a basis;</w:t>
      </w:r>
    </w:p>
    <w:p>
      <w:pPr>
        <w:pStyle w:val="Compact"/>
        <w:numPr>
          <w:ilvl w:val="0"/>
          <w:numId w:val="1006"/>
        </w:numPr>
      </w:pPr>
      <w:r>
        <w:t xml:space="preserve">multiphase flow is not represented by the instrument;</w:t>
      </w:r>
    </w:p>
    <w:p>
      <w:pPr>
        <w:pStyle w:val="Compact"/>
        <w:numPr>
          <w:ilvl w:val="0"/>
          <w:numId w:val="1006"/>
        </w:numPr>
      </w:pPr>
      <w:r>
        <w:t xml:space="preserve">sampling is not representative;</w:t>
      </w:r>
    </w:p>
    <w:p>
      <w:pPr>
        <w:pStyle w:val="Compact"/>
        <w:numPr>
          <w:ilvl w:val="0"/>
          <w:numId w:val="1006"/>
        </w:numPr>
      </w:pPr>
      <w:r>
        <w:t xml:space="preserve">uncertainties are poorly characterized;</w:t>
      </w:r>
    </w:p>
    <w:p>
      <w:pPr>
        <w:pStyle w:val="Compact"/>
        <w:numPr>
          <w:ilvl w:val="0"/>
          <w:numId w:val="1006"/>
        </w:numPr>
      </w:pPr>
      <w:r>
        <w:t xml:space="preserve">temporal correlation is confused with independent measurement;</w:t>
      </w:r>
    </w:p>
    <w:p>
      <w:pPr>
        <w:pStyle w:val="Compact"/>
        <w:numPr>
          <w:ilvl w:val="0"/>
          <w:numId w:val="1006"/>
        </w:numPr>
      </w:pPr>
      <w:r>
        <w:t xml:space="preserve">data are reconciled against incorrect physical constraints.</w:t>
      </w:r>
    </w:p>
    <w:p>
      <w:pPr>
        <w:pStyle w:val="FirstParagraph"/>
      </w:pPr>
      <w:r>
        <w:t xml:space="preserve">A mass balance does not establish causality. It can reveal an inconsistency, but locating its cause requires additional evidence: calibration, inspection, sampling, level trends, operating sequence, and process knowledge.</w:t>
      </w:r>
    </w:p>
    <w:bookmarkEnd w:id="71"/>
    <w:bookmarkStart w:id="72" w:name="conclusions"/>
    <w:p>
      <w:pPr>
        <w:pStyle w:val="Heading1"/>
      </w:pPr>
      <w:r>
        <w:t xml:space="preserve">Conclusions</w:t>
      </w:r>
    </w:p>
    <w:p>
      <w:pPr>
        <w:pStyle w:val="FirstParagraph"/>
      </w:pPr>
      <w:r>
        <w:t xml:space="preserve">Mass balance is a physical law converted into a decision method. Its simplest form—input minus output equals accumulation—is useful only when boundary, time, basis, units, and components are defined.</w:t>
      </w:r>
    </w:p>
    <w:p>
      <w:pPr>
        <w:pStyle w:val="BodyText"/>
      </w:pPr>
      <w:r>
        <w:t xml:space="preserve">The separation case showed how two independent balances determine two flows and how the solution becomes sensitive when product compositions converge. The tank showed that a process can be steady in total mass and transient in a component. The measurement case showed that a nonzero residual must be compared with uncertainty and that weighted reconciliation produces physically consistent estimates without turning measurements into exact truths.</w:t>
      </w:r>
    </w:p>
    <w:p>
      <w:pPr>
        <w:pStyle w:val="BodyText"/>
      </w:pPr>
      <w:r>
        <w:t xml:space="preserve">The central lesson is twofold. Numerical closure cannot replace physical reasoning: a balance can close around the wrong boundary. Digital traceability cannot replace conservation: a sequence of events must remain quantitatively possible. When identity, quantity, time, composition, uncertainty, and provenance are integrated, mass balance stops being a classroom exercise and becomes the verifiable grammar of the industrial process.</w:t>
      </w:r>
    </w:p>
    <w:bookmarkEnd w:id="72"/>
    <w:bookmarkStart w:id="73" w:name="reproducibility-statement"/>
    <w:p>
      <w:pPr>
        <w:pStyle w:val="Heading1"/>
      </w:pPr>
      <w:r>
        <w:t xml:space="preserve">Reproducibility statement</w:t>
      </w:r>
    </w:p>
    <w:p>
      <w:pPr>
        <w:pStyle w:val="FirstParagraph"/>
      </w:pPr>
      <w:r>
        <w:t xml:space="preserve">The datasets, results, and five figures in this edition are generated by</w:t>
      </w:r>
      <w:r>
        <w:t xml:space="preserve"> </w:t>
      </w:r>
      <w:r>
        <w:rPr>
          <w:rStyle w:val="VerbatimChar"/>
        </w:rPr>
        <w:t xml:space="preserve">scripts/generate_evidence.py</w:t>
      </w:r>
      <w:r>
        <w:t xml:space="preserve">. Dependencies are pinned in</w:t>
      </w:r>
      <w:r>
        <w:t xml:space="preserve"> </w:t>
      </w:r>
      <w:r>
        <w:rPr>
          <w:rStyle w:val="VerbatimChar"/>
        </w:rPr>
        <w:t xml:space="preserve">environment/requirements.txt</w:t>
      </w:r>
      <w:r>
        <w:t xml:space="preserve">; variables and units are documented in</w:t>
      </w:r>
      <w:r>
        <w:t xml:space="preserve"> </w:t>
      </w:r>
      <w:r>
        <w:rPr>
          <w:rStyle w:val="VerbatimChar"/>
        </w:rPr>
        <w:t xml:space="preserve">data/README.md</w:t>
      </w:r>
      <w:r>
        <w:t xml:space="preserve">. The pipeline uses no randomness. The same results and figures support the ES and EN editions.</w:t>
      </w:r>
    </w:p>
    <w:bookmarkEnd w:id="73"/>
    <w:bookmarkStart w:id="85" w:name="references"/>
    <w:p>
      <w:pPr>
        <w:pStyle w:val="Heading1"/>
      </w:pPr>
      <w:r>
        <w:t xml:space="preserve">References</w:t>
      </w:r>
    </w:p>
    <w:bookmarkStart w:id="84" w:name="refs"/>
    <w:bookmarkStart w:id="75" w:name="ref-felder2020"/>
    <w:p>
      <w:pPr>
        <w:pStyle w:val="Bibliography"/>
      </w:pPr>
      <w:r>
        <w:t xml:space="preserve">Felder, Richard M., Ronald W. Rousseau, and Lisa G. Bullard. 2020.</w:t>
      </w:r>
      <w:r>
        <w:t xml:space="preserve"> </w:t>
      </w:r>
      <w:r>
        <w:rPr>
          <w:i/>
          <w:iCs/>
        </w:rPr>
        <w:t xml:space="preserve">Elementary Principles of Chemical Processes</w:t>
      </w:r>
      <w:r>
        <w:t xml:space="preserve">. 4th ed. John Wiley &amp; Sons.</w:t>
      </w:r>
      <w:r>
        <w:t xml:space="preserve"> </w:t>
      </w:r>
      <w:hyperlink r:id="rId74">
        <w:r>
          <w:rPr>
            <w:rStyle w:val="Hyperlink"/>
          </w:rPr>
          <w:t xml:space="preserve">https://www.wileyplus.com/engineering-and-materials-science/felder-elementary-principles-of-chemical-processes-4e-eprof18116/</w:t>
        </w:r>
      </w:hyperlink>
      <w:r>
        <w:t xml:space="preserve">.</w:t>
      </w:r>
    </w:p>
    <w:bookmarkEnd w:id="75"/>
    <w:bookmarkStart w:id="77" w:name="ref-jcgm100"/>
    <w:p>
      <w:pPr>
        <w:pStyle w:val="Bibliography"/>
      </w:pPr>
      <w:r>
        <w:t xml:space="preserve">Joint Committee for Guides in Metrology. 2008.</w:t>
      </w:r>
      <w:r>
        <w:t xml:space="preserve"> </w:t>
      </w:r>
      <w:r>
        <w:rPr>
          <w:i/>
          <w:iCs/>
        </w:rPr>
        <w:t xml:space="preserve">Evaluation of Measurement Data — Guide to the Expression of Uncertainty in Measurement</w:t>
      </w:r>
      <w:r>
        <w:t xml:space="preserve">. JCGM 100:2008. BIPM.</w:t>
      </w:r>
      <w:r>
        <w:t xml:space="preserve"> </w:t>
      </w:r>
      <w:hyperlink r:id="rId76">
        <w:r>
          <w:rPr>
            <w:rStyle w:val="Hyperlink"/>
          </w:rPr>
          <w:t xml:space="preserve">https://doi.org/10.59161/JCGM100-2008E</w:t>
        </w:r>
      </w:hyperlink>
      <w:r>
        <w:t xml:space="preserve">.</w:t>
      </w:r>
    </w:p>
    <w:bookmarkEnd w:id="77"/>
    <w:bookmarkStart w:id="79" w:name="ref-mit_control_volume"/>
    <w:p>
      <w:pPr>
        <w:pStyle w:val="Bibliography"/>
      </w:pPr>
      <w:r>
        <w:t xml:space="preserve">Massachusetts Institute of Technology. n.d.</w:t>
      </w:r>
      <w:r>
        <w:t xml:space="preserve"> </w:t>
      </w:r>
      <w:r>
        <w:t xml:space="preserve">“Control Volume Theorems and Applications.”</w:t>
      </w:r>
      <w:r>
        <w:t xml:space="preserve"> </w:t>
      </w:r>
      <w:r>
        <w:t xml:space="preserve">MIT OpenCourseWare. Accessed September 3, 2026.</w:t>
      </w:r>
      <w:r>
        <w:t xml:space="preserve"> </w:t>
      </w:r>
      <w:hyperlink r:id="rId78">
        <w:r>
          <w:rPr>
            <w:rStyle w:val="Hyperlink"/>
          </w:rPr>
          <w:t xml:space="preserve">https://ocw.mit.edu/courses/2-25-advanced-fluid-mechanics-fall-2013/pages/control-volume-theorems-and-applications/</w:t>
        </w:r>
      </w:hyperlink>
      <w:r>
        <w:t xml:space="preserve">.</w:t>
      </w:r>
    </w:p>
    <w:bookmarkEnd w:id="79"/>
    <w:bookmarkStart w:id="81" w:name="ref-reklaitis1983"/>
    <w:p>
      <w:pPr>
        <w:pStyle w:val="Bibliography"/>
      </w:pPr>
      <w:r>
        <w:t xml:space="preserve">Reklaitis, Gintaras V. 1983.</w:t>
      </w:r>
      <w:r>
        <w:t xml:space="preserve"> </w:t>
      </w:r>
      <w:r>
        <w:rPr>
          <w:i/>
          <w:iCs/>
        </w:rPr>
        <w:t xml:space="preserve">Introduction to Material and Energy Balances</w:t>
      </w:r>
      <w:r>
        <w:t xml:space="preserve">. John Wiley &amp; Sons.</w:t>
      </w:r>
      <w:r>
        <w:t xml:space="preserve"> </w:t>
      </w:r>
      <w:hyperlink r:id="rId80">
        <w:r>
          <w:rPr>
            <w:rStyle w:val="Hyperlink"/>
          </w:rPr>
          <w:t xml:space="preserve">https://www.wiley-vch.de/en/areas-interest/engineering/introduction-to-material-and-energy-balances-978-0-471-04131-3</w:t>
        </w:r>
      </w:hyperlink>
      <w:r>
        <w:t xml:space="preserve">.</w:t>
      </w:r>
    </w:p>
    <w:bookmarkEnd w:id="81"/>
    <w:bookmarkStart w:id="83" w:name="ref-tamhane1985"/>
    <w:p>
      <w:pPr>
        <w:pStyle w:val="Bibliography"/>
      </w:pPr>
      <w:r>
        <w:t xml:space="preserve">Tamhane, Ajit C., and Richard S. H. Mah. 1985.</w:t>
      </w:r>
      <w:r>
        <w:t xml:space="preserve"> </w:t>
      </w:r>
      <w:r>
        <w:t xml:space="preserve">“Data Reconciliation and Gross Error Detection in Chemical Process Networks.”</w:t>
      </w:r>
      <w:r>
        <w:t xml:space="preserve"> </w:t>
      </w:r>
      <w:r>
        <w:rPr>
          <w:i/>
          <w:iCs/>
        </w:rPr>
        <w:t xml:space="preserve">Technometrics</w:t>
      </w:r>
      <w:r>
        <w:t xml:space="preserve"> </w:t>
      </w:r>
      <w:r>
        <w:t xml:space="preserve">27 (4): 409–22.</w:t>
      </w:r>
      <w:r>
        <w:t xml:space="preserve"> </w:t>
      </w:r>
      <w:hyperlink r:id="rId82">
        <w:r>
          <w:rPr>
            <w:rStyle w:val="Hyperlink"/>
          </w:rPr>
          <w:t xml:space="preserve">https://doi.org/10.1080/00401706.1985.10488080</w:t>
        </w:r>
      </w:hyperlink>
      <w:r>
        <w:t xml:space="preserve">.</w:t>
      </w:r>
    </w:p>
    <w:bookmarkEnd w:id="83"/>
    <w:bookmarkEnd w:id="84"/>
    <w:bookmarkEnd w:id="8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5" Target="media/rId15.png" /><Relationship Type="http://schemas.openxmlformats.org/officeDocument/2006/relationships/image" Id="rId33" Target="media/rId33.png" /><Relationship Type="http://schemas.openxmlformats.org/officeDocument/2006/relationships/image" Id="rId44" Target="media/rId44.png" /><Relationship Type="http://schemas.openxmlformats.org/officeDocument/2006/relationships/image" Id="rId51" Target="media/rId51.png" /><Relationship Type="http://schemas.openxmlformats.org/officeDocument/2006/relationships/image" Id="rId63" Target="media/rId63.png" /><Relationship Type="http://schemas.openxmlformats.org/officeDocument/2006/relationships/hyperlink" Id="rId11" Target="../../../downloads/NS-SBTP-PSF-001_v2.0_EN.docx" TargetMode="External" /><Relationship Type="http://schemas.openxmlformats.org/officeDocument/2006/relationships/hyperlink" Id="rId12" Target="../../../downloads/NS-SBTP-PSF-001_v2.0_EN.epub" TargetMode="External" /><Relationship Type="http://schemas.openxmlformats.org/officeDocument/2006/relationships/hyperlink" Id="rId10" Target="../../../downloads/NS-SBTP-PSF-001_v2.0_EN.pdf" TargetMode="External" /><Relationship Type="http://schemas.openxmlformats.org/officeDocument/2006/relationships/hyperlink" Id="rId9" Target="../../../es/articles/NS-SBTP-PSF-001/" TargetMode="External" /><Relationship Type="http://schemas.openxmlformats.org/officeDocument/2006/relationships/hyperlink" Id="rId82" Target="https://doi.org/10.1080/00401706.1985.10488080" TargetMode="External" /><Relationship Type="http://schemas.openxmlformats.org/officeDocument/2006/relationships/hyperlink" Id="rId76" Target="https://doi.org/10.59161/JCGM100-2008E" TargetMode="External" /><Relationship Type="http://schemas.openxmlformats.org/officeDocument/2006/relationships/hyperlink" Id="rId13" Target="https://github.com/Nhilson73/Nebula_Science_Quarto/tree/bfef03b5acafefcea5fe6174bf62f88f0493ee1f/05_articles/foundations/NS-SBTP-PSF-001/v2.0" TargetMode="External" /><Relationship Type="http://schemas.openxmlformats.org/officeDocument/2006/relationships/hyperlink" Id="rId78" Target="https://ocw.mit.edu/courses/2-25-advanced-fluid-mechanics-fall-2013/pages/control-volume-theorems-and-applications/" TargetMode="External" /><Relationship Type="http://schemas.openxmlformats.org/officeDocument/2006/relationships/hyperlink" Id="rId80" Target="https://www.wiley-vch.de/en/areas-interest/engineering/introduction-to-material-and-energy-balances-978-0-471-04131-3" TargetMode="External" /><Relationship Type="http://schemas.openxmlformats.org/officeDocument/2006/relationships/hyperlink" Id="rId74" Target="https://www.wileyplus.com/engineering-and-materials-science/felder-elementary-principles-of-chemical-processes-4e-eprof18116/" TargetMode="External" /></Relationships>
</file>

<file path=word/_rels/footnotes.xml.rels><?xml version="1.0" encoding="UTF-8"?><Relationships xmlns="http://schemas.openxmlformats.org/package/2006/relationships"><Relationship Type="http://schemas.openxmlformats.org/officeDocument/2006/relationships/hyperlink" Id="rId11" Target="../../../downloads/NS-SBTP-PSF-001_v2.0_EN.docx" TargetMode="External" /><Relationship Type="http://schemas.openxmlformats.org/officeDocument/2006/relationships/hyperlink" Id="rId12" Target="../../../downloads/NS-SBTP-PSF-001_v2.0_EN.epub" TargetMode="External" /><Relationship Type="http://schemas.openxmlformats.org/officeDocument/2006/relationships/hyperlink" Id="rId10" Target="../../../downloads/NS-SBTP-PSF-001_v2.0_EN.pdf" TargetMode="External" /><Relationship Type="http://schemas.openxmlformats.org/officeDocument/2006/relationships/hyperlink" Id="rId9" Target="../../../es/articles/NS-SBTP-PSF-001/" TargetMode="External" /><Relationship Type="http://schemas.openxmlformats.org/officeDocument/2006/relationships/hyperlink" Id="rId82" Target="https://doi.org/10.1080/00401706.1985.10488080" TargetMode="External" /><Relationship Type="http://schemas.openxmlformats.org/officeDocument/2006/relationships/hyperlink" Id="rId76" Target="https://doi.org/10.59161/JCGM100-2008E" TargetMode="External" /><Relationship Type="http://schemas.openxmlformats.org/officeDocument/2006/relationships/hyperlink" Id="rId13" Target="https://github.com/Nhilson73/Nebula_Science_Quarto/tree/bfef03b5acafefcea5fe6174bf62f88f0493ee1f/05_articles/foundations/NS-SBTP-PSF-001/v2.0" TargetMode="External" /><Relationship Type="http://schemas.openxmlformats.org/officeDocument/2006/relationships/hyperlink" Id="rId78" Target="https://ocw.mit.edu/courses/2-25-advanced-fluid-mechanics-fall-2013/pages/control-volume-theorems-and-applications/" TargetMode="External" /><Relationship Type="http://schemas.openxmlformats.org/officeDocument/2006/relationships/hyperlink" Id="rId80" Target="https://www.wiley-vch.de/en/areas-interest/engineering/introduction-to-material-and-energy-balances-978-0-471-04131-3" TargetMode="External" /><Relationship Type="http://schemas.openxmlformats.org/officeDocument/2006/relationships/hyperlink" Id="rId74" Target="https://www.wileyplus.com/engineering-and-materials-science/felder-elementary-principles-of-chemical-processes-4e-eprof1811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 Balance: The Language of Industrial Processes</dc:title>
  <dc:creator>Nebula Foundation®</dc:creator>
  <dc:language>en</dc:language>
  <cp:keywords>mass balance, mass conservation, control volume, transient state, measurement uncertainty, data reconciliation, digital traceability</cp:keywords>
  <dcterms:created xsi:type="dcterms:W3CDTF">2026-09-04T03:46:07Z</dcterms:created>
  <dcterms:modified xsi:type="dcterms:W3CDTF">2026-09-04T03:46:07Z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Mass balance transforms a physical process into a verifiable accounting structure. This major revision develops the principle from boundary selection to measurement diagnosis: it distinguishes total mass from components, derives steady-state and transient forms, explains accumulation, calculation basis, and degrees of freedom, and demonstrates why nonzero closure does not automatically prove a real loss. Three reproducible pedagogical cases connect theory with practice: a two-product separator, a perfectly mixed tank with component accumulation, and weighted reconciliation of flow measurements with different uncertainties. Figures, datasets, and results are generated by versioned code and do not represent plant data. The article concludes by showing how physical balance becomes the backbone of digital traceability: every verifiable transformation requires stream identity, units, time, composition, provenance, and explicit conservation rules.</vt:lpwstr>
  </property>
  <property fmtid="{D5CDD505-2E9C-101B-9397-08002B2CF9AE}" pid="3" name="abstract-title">
    <vt:lpwstr>Abstract</vt:lpwstr>
  </property>
  <property fmtid="{D5CDD505-2E9C-101B-9397-08002B2CF9AE}" pid="4" name="article-id">
    <vt:lpwstr>NS-SBTP-PSF-001</vt:lpwstr>
  </property>
  <property fmtid="{D5CDD505-2E9C-101B-9397-08002B2CF9AE}" pid="5" name="authors">
    <vt:lpwstr/>
  </property>
  <property fmtid="{D5CDD505-2E9C-101B-9397-08002B2CF9AE}" pid="6" name="biblio-config">
    <vt:lpwstr>True</vt:lpwstr>
  </property>
  <property fmtid="{D5CDD505-2E9C-101B-9397-08002B2CF9AE}" pid="7" name="bibliography">
    <vt:lpwstr>../../../references/NS-SBTP-PSF-001-v2.0.bib</vt:lpwstr>
  </property>
  <property fmtid="{D5CDD505-2E9C-101B-9397-08002B2CF9AE}" pid="8" name="by-author">
    <vt:lpwstr/>
  </property>
  <property fmtid="{D5CDD505-2E9C-101B-9397-08002B2CF9AE}" pid="9" name="date">
    <vt:lpwstr>2026-09-03</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is_demo">
    <vt:lpwstr>False</vt:lpwstr>
  </property>
  <property fmtid="{D5CDD505-2E9C-101B-9397-08002B2CF9AE}" pid="15" name="keywords-title">
    <vt:lpwstr>Keywords</vt:lpwstr>
  </property>
  <property fmtid="{D5CDD505-2E9C-101B-9397-08002B2CF9AE}" pid="16" name="labels">
    <vt:lpwstr/>
  </property>
  <property fmtid="{D5CDD505-2E9C-101B-9397-08002B2CF9AE}" pid="17" name="language-code">
    <vt:lpwstr>EN</vt:lpwstr>
  </property>
  <property fmtid="{D5CDD505-2E9C-101B-9397-08002B2CF9AE}" pid="18" name="license-text">
    <vt:lpwstr>CC BY 4.0 — version 2.0; the historical v1.0 release is preserved separately</vt:lpwstr>
  </property>
  <property fmtid="{D5CDD505-2E9C-101B-9397-08002B2CF9AE}" pid="19" name="publication">
    <vt:lpwstr>Nebula Science®</vt:lpwstr>
  </property>
  <property fmtid="{D5CDD505-2E9C-101B-9397-08002B2CF9AE}" pid="20" name="series">
    <vt:lpwstr>Science Behind the Process</vt:lpwstr>
  </property>
  <property fmtid="{D5CDD505-2E9C-101B-9397-08002B2CF9AE}" pid="21" name="status">
    <vt:lpwstr>published</vt:lpwstr>
  </property>
  <property fmtid="{D5CDD505-2E9C-101B-9397-08002B2CF9AE}" pid="22" name="subtitle">
    <vt:lpwstr>From physical conservation to closure, uncertainty, and traceability</vt:lpwstr>
  </property>
  <property fmtid="{D5CDD505-2E9C-101B-9397-08002B2CF9AE}" pid="23" name="toc-title">
    <vt:lpwstr>Table of contents</vt:lpwstr>
  </property>
  <property fmtid="{D5CDD505-2E9C-101B-9397-08002B2CF9AE}" pid="24" name="version">
    <vt:lpwstr>2.0</vt:lpwstr>
  </property>
</Properties>
</file>