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5.png" ContentType="image/png"/>
  <Override PartName="/word/media/rId33.png" ContentType="image/png"/>
  <Override PartName="/word/media/rId44.png" ContentType="image/png"/>
  <Override PartName="/word/media/rId51.png" ContentType="image/png"/>
  <Override PartName="/word/media/rId6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Balance de masa: el lenguaje de los procesos industriales</w:t>
      </w:r>
    </w:p>
    <w:p>
      <w:pPr>
        <w:pStyle w:val="Subtitle"/>
      </w:pPr>
      <w:r>
        <w:t xml:space="preserve">De la conservación física al cierre, la incertidumbre y la trazabilidad</w:t>
      </w:r>
    </w:p>
    <w:p>
      <w:pPr>
        <w:pStyle w:val="Author"/>
      </w:pPr>
      <w:r>
        <w:t xml:space="preserve">Nebula Foundation®</w:t>
      </w:r>
    </w:p>
    <w:p>
      <w:pPr>
        <w:pStyle w:val="Date"/>
      </w:pPr>
      <w:r>
        <w:t xml:space="preserve">2026-09-03</w:t>
      </w:r>
    </w:p>
    <w:p>
      <w:pPr>
        <w:pStyle w:val="AbstractTitle"/>
      </w:pPr>
      <w:r>
        <w:t xml:space="preserve">Resumen</w:t>
      </w:r>
    </w:p>
    <w:p>
      <w:pPr>
        <w:pStyle w:val="Abstract"/>
      </w:pPr>
      <w:r>
        <w:t xml:space="preserve">El balance de masa transforma un proceso físico en una estructura contable verificable. Esta revisión mayor desarrolla el principio desde la selección de frontera hasta el diagnóstico de mediciones: distingue masa total y componentes, deriva las formas estacionaria y transitoria, explica acumulación, base de cálculo y grados de libertad, y demuestra por qué un cierre distinto de cero no equivale automáticamente a una pérdida real. Tres casos pedagógicos reproducibles conectan la teoría con la práctica: un separador de dos productos, un tanque perfectamente mezclado con acumulación de componente y una reconciliación ponderada de caudales con incertidumbres diferentes. Las figuras, datasets y resultados se generan mediante código versionado y no representan datos de planta. El artículo concluye mostrando cómo el balance físico se convierte en la columna vertebral de la trazabilidad digital: cada transformación verificable exige identidad de corrientes, unidades, tiempo, composición, procedencia y reglas explícitas de conservación.</w:t>
      </w:r>
    </w:p>
    <w:p>
      <w:pPr>
        <w:pStyle w:val="FirstParagraph"/>
      </w:pPr>
      <w:r>
        <w:rPr>
          <w:b/>
          <w:bCs/>
        </w:rPr>
        <w:t xml:space="preserve">Edición publicada v2.0 · G8 aprobado</w:t>
      </w:r>
    </w:p>
    <w:p>
      <w:pPr>
        <w:pStyle w:val="BodyText"/>
      </w:pPr>
      <w:hyperlink r:id="rId9">
        <w:r>
          <w:rPr>
            <w:rStyle w:val="Hyperlink"/>
          </w:rPr>
          <w:t xml:space="preserve">English</w:t>
        </w:r>
      </w:hyperlink>
      <w:r>
        <w:t xml:space="preserve"> </w:t>
      </w:r>
      <w:r>
        <w:t xml:space="preserve">·</w:t>
      </w:r>
      <w:r>
        <w:t xml:space="preserve"> </w:t>
      </w:r>
      <w:hyperlink r:id="rId10">
        <w:r>
          <w:rPr>
            <w:rStyle w:val="Hyperlink"/>
          </w:rPr>
          <w:t xml:space="preserve">PDF</w:t>
        </w:r>
      </w:hyperlink>
      <w:r>
        <w:t xml:space="preserve"> </w:t>
      </w:r>
      <w:r>
        <w:t xml:space="preserve">·</w:t>
      </w:r>
      <w:r>
        <w:t xml:space="preserve"> </w:t>
      </w:r>
      <w:hyperlink r:id="rId11">
        <w:r>
          <w:rPr>
            <w:rStyle w:val="Hyperlink"/>
          </w:rPr>
          <w:t xml:space="preserve">DOCX</w:t>
        </w:r>
      </w:hyperlink>
      <w:r>
        <w:t xml:space="preserve"> </w:t>
      </w:r>
      <w:r>
        <w:t xml:space="preserve">·</w:t>
      </w:r>
      <w:r>
        <w:t xml:space="preserve"> </w:t>
      </w:r>
      <w:hyperlink r:id="rId12">
        <w:r>
          <w:rPr>
            <w:rStyle w:val="Hyperlink"/>
          </w:rPr>
          <w:t xml:space="preserve">ePub</w:t>
        </w:r>
      </w:hyperlink>
      <w:r>
        <w:t xml:space="preserve"> </w:t>
      </w:r>
      <w:r>
        <w:t xml:space="preserve">·</w:t>
      </w:r>
      <w:r>
        <w:t xml:space="preserve"> </w:t>
      </w:r>
      <w:hyperlink r:id="rId13">
        <w:r>
          <w:rPr>
            <w:rStyle w:val="Hyperlink"/>
          </w:rPr>
          <w:t xml:space="preserve">Fuente científica</w:t>
        </w:r>
      </w:hyperlink>
    </w:p>
    <w:bookmarkStart w:id="14" w:name="por-qué-importa"/>
    <w:p>
      <w:pPr>
        <w:pStyle w:val="Heading1"/>
      </w:pPr>
      <w:r>
        <w:t xml:space="preserve">Por qué importa</w:t>
      </w:r>
    </w:p>
    <w:p>
      <w:pPr>
        <w:pStyle w:val="FirstParagraph"/>
      </w:pPr>
      <w:r>
        <w:t xml:space="preserve">Antes de optimizar, automatizar o digitalizar un proceso, hay que responder una pregunta elemental:</w:t>
      </w:r>
      <w:r>
        <w:t xml:space="preserve"> </w:t>
      </w:r>
      <w:r>
        <w:rPr>
          <w:b/>
          <w:bCs/>
        </w:rPr>
        <w:t xml:space="preserve">¿dónde está la materia?</w:t>
      </w:r>
      <w:r>
        <w:t xml:space="preserve"> </w:t>
      </w:r>
      <w:r>
        <w:t xml:space="preserve">Una planta puede tener sensores modernos, historizadores, algoritmos de control y trazabilidad por lote; si sus corrientes no pueden relacionarse mediante conservación, la representación digital no describe de forma coherente el proceso físico.</w:t>
      </w:r>
    </w:p>
    <w:p>
      <w:pPr>
        <w:pStyle w:val="BodyText"/>
      </w:pPr>
      <w:r>
        <w:t xml:space="preserve">El balance de masa es el lenguaje que convierte equipos, inventarios, corrientes y transformaciones en una contabilidad técnica. Igual que una contabilidad financiera debe explicar de dónde vino y a dónde fue el dinero, una contabilidad de proceso debe explicar de dónde vino, dónde permaneció y a dónde fue la materia. Esta idea es independiente de la escala: aplica a una taza, un fermentador, un tanque, un secador, una refinería o una red completa de operaciones</w:t>
      </w:r>
      <w:r>
        <w:t xml:space="preserve"> </w:t>
      </w:r>
      <w:r>
        <w:t xml:space="preserve">(Felder et al. 2020; Reklaitis 1983)</w:t>
      </w:r>
      <w:r>
        <w:t xml:space="preserve">.</w:t>
      </w:r>
    </w:p>
    <w:p>
      <w:pPr>
        <w:pStyle w:val="BodyText"/>
      </w:pPr>
      <w:r>
        <w:t xml:space="preserve">La potencia del método no reside únicamente en resolver una incógnita. Un balance bien formulado permite:</w:t>
      </w:r>
    </w:p>
    <w:p>
      <w:pPr>
        <w:pStyle w:val="Compact"/>
        <w:numPr>
          <w:ilvl w:val="0"/>
          <w:numId w:val="1001"/>
        </w:numPr>
      </w:pPr>
      <w:r>
        <w:t xml:space="preserve">verificar si un conjunto de mediciones puede coexistir físicamente;</w:t>
      </w:r>
    </w:p>
    <w:p>
      <w:pPr>
        <w:pStyle w:val="Compact"/>
        <w:numPr>
          <w:ilvl w:val="0"/>
          <w:numId w:val="1001"/>
        </w:numPr>
      </w:pPr>
      <w:r>
        <w:t xml:space="preserve">calcular variables no medidas cuando el sistema tiene suficientes relaciones independientes;</w:t>
      </w:r>
    </w:p>
    <w:p>
      <w:pPr>
        <w:pStyle w:val="Compact"/>
        <w:numPr>
          <w:ilvl w:val="0"/>
          <w:numId w:val="1001"/>
        </w:numPr>
      </w:pPr>
      <w:r>
        <w:t xml:space="preserve">distinguir acumulación real de error instrumental o desfase temporal;</w:t>
      </w:r>
    </w:p>
    <w:p>
      <w:pPr>
        <w:pStyle w:val="Compact"/>
        <w:numPr>
          <w:ilvl w:val="0"/>
          <w:numId w:val="1001"/>
        </w:numPr>
      </w:pPr>
      <w:r>
        <w:t xml:space="preserve">localizar fronteras donde podría existir una corriente omitida;</w:t>
      </w:r>
    </w:p>
    <w:p>
      <w:pPr>
        <w:pStyle w:val="Compact"/>
        <w:numPr>
          <w:ilvl w:val="0"/>
          <w:numId w:val="1001"/>
        </w:numPr>
      </w:pPr>
      <w:r>
        <w:t xml:space="preserve">evaluar rendimiento, recuperación y pérdidas con una base definida;</w:t>
      </w:r>
    </w:p>
    <w:p>
      <w:pPr>
        <w:pStyle w:val="Compact"/>
        <w:numPr>
          <w:ilvl w:val="0"/>
          <w:numId w:val="1001"/>
        </w:numPr>
      </w:pPr>
      <w:r>
        <w:t xml:space="preserve">reconciliar mediciones redundantes sin tratarlas como verdades exactas;</w:t>
      </w:r>
    </w:p>
    <w:p>
      <w:pPr>
        <w:pStyle w:val="Compact"/>
        <w:numPr>
          <w:ilvl w:val="0"/>
          <w:numId w:val="1001"/>
        </w:numPr>
      </w:pPr>
      <w:r>
        <w:t xml:space="preserve">estructurar una trazabilidad digital que conserve cantidades, identidades y transformaciones.</w:t>
      </w:r>
    </w:p>
    <w:p>
      <w:pPr>
        <w:pStyle w:val="FirstParagraph"/>
      </w:pPr>
      <w:r>
        <w:t xml:space="preserve">Esta versión 2.0 amplía la publicación histórica v1.0. La v1.0 permanece archivada tal como fue publicada; la presente edición es monolingüe, usa US Letter y profundiza en acumulación, sensibilidad, incertidumbre y reconciliación sin convertir ejemplos pedagógicos en evidencia experimental.</w:t>
      </w:r>
    </w:p>
    <w:bookmarkEnd w:id="14"/>
    <w:bookmarkStart w:id="24" w:name="la-ley-detrás-de-la-contabilidad"/>
    <w:p>
      <w:pPr>
        <w:pStyle w:val="Heading1"/>
      </w:pPr>
      <w:r>
        <w:t xml:space="preserve">La ley detrás de la contabilidad</w:t>
      </w:r>
    </w:p>
    <w:bookmarkStart w:id="19" w:name="sistema-volumen-de-control-y-frontera"/>
    <w:p>
      <w:pPr>
        <w:pStyle w:val="Heading2"/>
      </w:pPr>
      <w:r>
        <w:t xml:space="preserve">Sistema, volumen de control y frontera</w:t>
      </w:r>
    </w:p>
    <w:p>
      <w:pPr>
        <w:pStyle w:val="FirstParagraph"/>
      </w:pPr>
      <w:r>
        <w:t xml:space="preserve">Un</w:t>
      </w:r>
      <w:r>
        <w:t xml:space="preserve"> </w:t>
      </w:r>
      <w:r>
        <w:rPr>
          <w:b/>
          <w:bCs/>
        </w:rPr>
        <w:t xml:space="preserve">sistema</w:t>
      </w:r>
      <w:r>
        <w:t xml:space="preserve"> </w:t>
      </w:r>
      <w:r>
        <w:t xml:space="preserve">es la porción de realidad elegida para el análisis. Puede seguir una cantidad fija de materia —sistema cerrado— o ocupar una región del espacio atravesada por corrientes —volumen de control—. La industria trabaja con frecuencia con volúmenes de control porque bombas, mezcladores, separadores, reactores y líneas de envasado reciben y descargan materia continuamente. El enfoque de volumen de control conecta el inventario interno con los flujos que cruzan su frontera</w:t>
      </w:r>
      <w:r>
        <w:t xml:space="preserve"> </w:t>
      </w:r>
      <w:r>
        <w:t xml:space="preserve">(Massachusetts Institute of Technology, s. f.)</w:t>
      </w:r>
      <w:r>
        <w:t xml:space="preserve">.</w:t>
      </w:r>
    </w:p>
    <w:tbl>
      <w:tblPr>
        <w:tblStyle w:val="Table"/>
        <w:tblW w:type="pct" w:w="5000"/>
        <w:tblLayout w:type="fixed"/>
        <w:tblLook w:firstRow="0" w:lastRow="0" w:firstColumn="0" w:lastColumn="0" w:noHBand="0" w:noVBand="0" w:val="0000"/>
      </w:tblPr>
      <w:tblGrid>
        <w:gridCol w:w="7920"/>
      </w:tblGrid>
      <w:tr>
        <w:tc>
          <w:tcPr/>
          <w:bookmarkStart w:id="18" w:name="fig-control-volume"/>
          <w:p>
            <w:pPr>
              <w:pStyle w:val="Compact"/>
              <w:jc w:val="center"/>
            </w:pPr>
            <w:r>
              <w:drawing>
                <wp:inline>
                  <wp:extent cx="5067300" cy="2750281"/>
                  <wp:effectExtent b="0" l="0" r="0" t="0"/>
                  <wp:docPr descr="" title="" id="16" name="Picture"/>
                  <a:graphic>
                    <a:graphicData uri="http://schemas.openxmlformats.org/drawingml/2006/picture">
                      <pic:pic>
                        <pic:nvPicPr>
                          <pic:cNvPr descr="../../../assets/NS-SBTP-PSF-001-v2.0/fig01_control_volume.png" id="17" name="Picture"/>
                          <pic:cNvPicPr>
                            <a:picLocks noChangeArrowheads="1" noChangeAspect="1"/>
                          </pic:cNvPicPr>
                        </pic:nvPicPr>
                        <pic:blipFill>
                          <a:blip r:embed="rId15"/>
                          <a:stretch>
                            <a:fillRect/>
                          </a:stretch>
                        </pic:blipFill>
                        <pic:spPr bwMode="auto">
                          <a:xfrm>
                            <a:off x="0" y="0"/>
                            <a:ext cx="5067300" cy="2750281"/>
                          </a:xfrm>
                          <a:prstGeom prst="rect">
                            <a:avLst/>
                          </a:prstGeom>
                          <a:noFill/>
                          <a:ln w="9525">
                            <a:noFill/>
                            <a:headEnd/>
                            <a:tailEnd/>
                          </a:ln>
                        </pic:spPr>
                      </pic:pic>
                    </a:graphicData>
                  </a:graphic>
                </wp:inline>
              </w:drawing>
            </w:r>
          </w:p>
          <w:p>
            <w:pPr>
              <w:jc w:val="center"/>
            </w:pPr>
            <w:pPr>
              <w:jc w:val="left"/>
              <w:spacing w:before="200"/>
              <w:pStyle w:val="ImageCaption"/>
            </w:pPr>
            <w:r>
              <w:t xml:space="preserve">Figura 1: Anatomía de un volumen de control. La frontera separa el inventario interno de las entradas y salidas; su selección determina qué puede diagnosticar el balance.</w:t>
            </w:r>
          </w:p>
          <w:bookmarkEnd w:id="18"/>
        </w:tc>
      </w:tr>
    </w:tbl>
    <w:p>
      <w:pPr>
        <w:pStyle w:val="BodyText"/>
      </w:pPr>
      <w:r>
        <w:t xml:space="preserve">En la</w:t>
      </w:r>
      <w:r>
        <w:t xml:space="preserve"> </w:t>
      </w:r>
      <w:hyperlink w:anchor="fig-control-volume">
        <w:r>
          <w:rPr>
            <w:rStyle w:val="Hyperlink"/>
          </w:rPr>
          <w:t xml:space="preserve">Figura 1</w:t>
        </w:r>
      </w:hyperlink>
      <w:r>
        <w:t xml:space="preserve">,</w:t>
      </w:r>
      <w:r>
        <w:t xml:space="preserve"> </w:t>
      </w:r>
      <m:oMath>
        <m:r>
          <m:t>M</m:t>
        </m:r>
        <m:r>
          <m:rPr>
            <m:sty m:val="p"/>
          </m:rPr>
          <m:t>(</m:t>
        </m:r>
        <m:r>
          <m:t>t</m:t>
        </m:r>
        <m:r>
          <m:rPr>
            <m:sty m:val="p"/>
          </m:rPr>
          <m:t>)</m:t>
        </m:r>
      </m:oMath>
      <w:r>
        <w:t xml:space="preserve"> </w:t>
      </w:r>
      <w:r>
        <w:t xml:space="preserve">es la masa dentro de la frontera en el tiempo</w:t>
      </w:r>
      <w:r>
        <w:t xml:space="preserve"> </w:t>
      </w:r>
      <m:oMath>
        <m:r>
          <m:t>t</m:t>
        </m:r>
      </m:oMath>
      <w:r>
        <w:t xml:space="preserve">. Cada flujo másico de entrada o salida,</w:t>
      </w:r>
      <w:r>
        <w:t xml:space="preserve"> </w:t>
      </w:r>
      <m:oMath>
        <m:acc>
          <m:accPr>
            <m:chr m:val="̇"/>
          </m:accPr>
          <m:e>
            <m:r>
              <m:t>m</m:t>
            </m:r>
          </m:e>
        </m:acc>
      </m:oMath>
      <w:r>
        <w:t xml:space="preserve">, tiene unidades de masa por tiempo. La acumulación</w:t>
      </w:r>
      <w:r>
        <w:t xml:space="preserve"> </w:t>
      </w:r>
      <m:oMath>
        <m:r>
          <m:t>d</m:t>
        </m:r>
        <m:r>
          <m:t>M</m:t>
        </m:r>
        <m:r>
          <m:rPr>
            <m:sty m:val="p"/>
          </m:rPr>
          <m:t>/</m:t>
        </m:r>
        <m:r>
          <m:t>d</m:t>
        </m:r>
        <m:r>
          <m:t>t</m:t>
        </m:r>
      </m:oMath>
      <w:r>
        <w:t xml:space="preserve"> </w:t>
      </w:r>
      <w:r>
        <w:t xml:space="preserve">no es una corriente adicional: es la velocidad de cambio del inventario que ya está dentro del volumen de control.</w:t>
      </w:r>
    </w:p>
    <w:p>
      <w:pPr>
        <w:pStyle w:val="BodyText"/>
      </w:pPr>
      <w:r>
        <w:t xml:space="preserve">La frontera no es un dibujo decorativo. Si rodea únicamente un equipo, el balance diagnostica ese equipo. Si rodea una línea completa, las corrientes internas desaparecen del balance global porque cruzan fronteras internas, no la frontera externa. Una fuga puede ser invisible para una frontera mal elegida y evidente para otra. Por eso el primer acto de un balance no es escribir una ecuación, sino declarar qué está dentro, qué está fuera y durante qué intervalo se observa.</w:t>
      </w:r>
    </w:p>
    <w:bookmarkEnd w:id="19"/>
    <w:bookmarkStart w:id="23" w:name="forma-general"/>
    <w:p>
      <w:pPr>
        <w:pStyle w:val="Heading2"/>
      </w:pPr>
      <w:r>
        <w:t xml:space="preserve">Forma general</w:t>
      </w:r>
    </w:p>
    <w:p>
      <w:pPr>
        <w:pStyle w:val="FirstParagraph"/>
      </w:pPr>
      <w:r>
        <w:t xml:space="preserve">Para una cantidad extensiva</w:t>
      </w:r>
      <w:r>
        <w:t xml:space="preserve"> </w:t>
      </w:r>
      <m:oMath>
        <m:r>
          <m:t>B</m:t>
        </m:r>
      </m:oMath>
      <w:r>
        <w:t xml:space="preserve"> </w:t>
      </w:r>
      <w:r>
        <w:t xml:space="preserve">puede escribirse la estructura:</w:t>
      </w:r>
    </w:p>
    <w:p>
      <w:pPr>
        <w:pStyle w:val="BodyText"/>
      </w:pPr>
      <w:bookmarkStart w:id="20" w:name="eq-general"/>
      <m:oMathPara>
        <m:oMathParaPr>
          <m:jc m:val="center"/>
        </m:oMathParaPr>
        <m:oMath>
          <m:r>
            <m:rPr>
              <m:nor/>
              <m:sty m:val="p"/>
            </m:rPr>
            <m:t>Entrada</m:t>
          </m:r>
          <m:r>
            <m:rPr>
              <m:sty m:val="p"/>
            </m:rPr>
            <m:t>−</m:t>
          </m:r>
          <m:r>
            <m:rPr>
              <m:nor/>
              <m:sty m:val="p"/>
            </m:rPr>
            <m:t>Salida</m:t>
          </m:r>
          <m:r>
            <m:rPr>
              <m:sty m:val="p"/>
            </m:rPr>
            <m:t>+</m:t>
          </m:r>
          <m:r>
            <m:rPr>
              <m:nor/>
              <m:sty m:val="p"/>
            </m:rPr>
            <m:t>Generación</m:t>
          </m:r>
          <m:r>
            <m:rPr>
              <m:sty m:val="p"/>
            </m:rPr>
            <m:t>−</m:t>
          </m:r>
          <m:r>
            <m:rPr>
              <m:nor/>
              <m:sty m:val="p"/>
            </m:rPr>
            <m:t>Consumo</m:t>
          </m:r>
          <m:r>
            <m:rPr>
              <m:sty m:val="p"/>
            </m:rPr>
            <m:t>=</m:t>
          </m:r>
          <m:r>
            <m:rPr>
              <m:nor/>
              <m:sty m:val="p"/>
            </m:rPr>
            <m:t>Acumulación</m:t>
          </m:r>
          <m:r>
            <m:rPr>
              <m:sty m:val="p"/>
            </m:rPr>
            <m:t>.</m:t>
          </m:r>
          <m:r>
            <m:t>  </m:t>
          </m:r>
          <m:r>
            <m:rPr>
              <m:sty m:val="p"/>
            </m:rPr>
            <m:t>(</m:t>
          </m:r>
          <m:r>
            <m:t>1</m:t>
          </m:r>
          <m:r>
            <m:rPr>
              <m:sty m:val="p"/>
            </m:rPr>
            <m:t>)</m:t>
          </m:r>
        </m:oMath>
      </m:oMathPara>
      <w:bookmarkEnd w:id="20"/>
    </w:p>
    <w:p>
      <w:pPr>
        <w:pStyle w:val="FirstParagraph"/>
      </w:pPr>
      <w:r>
        <w:t xml:space="preserve">Para</w:t>
      </w:r>
      <w:r>
        <w:t xml:space="preserve"> </w:t>
      </w:r>
      <w:r>
        <w:rPr>
          <w:b/>
          <w:bCs/>
        </w:rPr>
        <w:t xml:space="preserve">masa total</w:t>
      </w:r>
      <w:r>
        <w:t xml:space="preserve"> </w:t>
      </w:r>
      <w:r>
        <w:t xml:space="preserve">en procesos químicos ordinarios, no hay generación ni consumo de masa. La forma dinámica es:</w:t>
      </w:r>
    </w:p>
    <w:p>
      <w:pPr>
        <w:pStyle w:val="BodyText"/>
      </w:pPr>
      <w:bookmarkStart w:id="21" w:name="eq-total-dynamic"/>
      <m:oMathPara>
        <m:oMathParaPr>
          <m:jc m:val="center"/>
        </m:oMathParaPr>
        <m:oMath>
          <m:f>
            <m:fPr>
              <m:type m:val="bar"/>
            </m:fPr>
            <m:num>
              <m:r>
                <m:t>d</m:t>
              </m:r>
              <m:r>
                <m:t>M</m:t>
              </m:r>
            </m:num>
            <m:den>
              <m:r>
                <m:t>d</m:t>
              </m:r>
              <m:r>
                <m:t>t</m:t>
              </m:r>
            </m:den>
          </m:f>
          <m:r>
            <m:rPr>
              <m:sty m:val="p"/>
            </m:rPr>
            <m:t>=</m:t>
          </m:r>
          <m:nary>
            <m:naryPr>
              <m:chr m:val="∑"/>
              <m:limLoc m:val="undOvr"/>
              <m:subHide m:val="off"/>
              <m:supHide m:val="on"/>
            </m:naryPr>
            <m:sub>
              <m:r>
                <m:t>j</m:t>
              </m:r>
              <m:r>
                <m:rPr>
                  <m:sty m:val="p"/>
                </m:rPr>
                <m:t>∈</m:t>
              </m:r>
              <m:r>
                <m:rPr>
                  <m:sty m:val="p"/>
                </m:rPr>
                <m:t>i</m:t>
              </m:r>
              <m:r>
                <m:rPr>
                  <m:sty m:val="p"/>
                </m:rPr>
                <m:t>n</m:t>
              </m:r>
            </m:sub>
            <m:sup>
              <m:r>
                <m:t>​</m:t>
              </m:r>
            </m:sup>
            <m:e>
              <m:sSub>
                <m:e>
                  <m:acc>
                    <m:accPr>
                      <m:chr m:val="̇"/>
                    </m:accPr>
                    <m:e>
                      <m:r>
                        <m:t>m</m:t>
                      </m:r>
                    </m:e>
                  </m:acc>
                </m:e>
                <m:sub>
                  <m:r>
                    <m:t>j</m:t>
                  </m:r>
                </m:sub>
              </m:sSub>
            </m:e>
          </m:nary>
          <m:r>
            <m:rPr>
              <m:sty m:val="p"/>
            </m:rPr>
            <m:t>−</m:t>
          </m:r>
          <m:nary>
            <m:naryPr>
              <m:chr m:val="∑"/>
              <m:limLoc m:val="undOvr"/>
              <m:subHide m:val="off"/>
              <m:supHide m:val="on"/>
            </m:naryPr>
            <m:sub>
              <m:r>
                <m:t>k</m:t>
              </m:r>
              <m:r>
                <m:rPr>
                  <m:sty m:val="p"/>
                </m:rPr>
                <m:t>∈</m:t>
              </m:r>
              <m:r>
                <m:rPr>
                  <m:sty m:val="p"/>
                </m:rPr>
                <m:t>o</m:t>
              </m:r>
              <m:r>
                <m:rPr>
                  <m:sty m:val="p"/>
                </m:rPr>
                <m:t>u</m:t>
              </m:r>
              <m:r>
                <m:rPr>
                  <m:sty m:val="p"/>
                </m:rPr>
                <m:t>t</m:t>
              </m:r>
            </m:sub>
            <m:sup>
              <m:r>
                <m:t>​</m:t>
              </m:r>
            </m:sup>
            <m:e>
              <m:sSub>
                <m:e>
                  <m:acc>
                    <m:accPr>
                      <m:chr m:val="̇"/>
                    </m:accPr>
                    <m:e>
                      <m:r>
                        <m:t>m</m:t>
                      </m:r>
                    </m:e>
                  </m:acc>
                </m:e>
                <m:sub>
                  <m:r>
                    <m:t>k</m:t>
                  </m:r>
                </m:sub>
              </m:sSub>
            </m:e>
          </m:nary>
          <m:r>
            <m:rPr>
              <m:sty m:val="p"/>
            </m:rPr>
            <m:t>.</m:t>
          </m:r>
          <m:r>
            <m:t>  </m:t>
          </m:r>
          <m:r>
            <m:rPr>
              <m:sty m:val="p"/>
            </m:rPr>
            <m:t>(</m:t>
          </m:r>
          <m:r>
            <m:t>2</m:t>
          </m:r>
          <m:r>
            <m:rPr>
              <m:sty m:val="p"/>
            </m:rPr>
            <m:t>)</m:t>
          </m:r>
        </m:oMath>
      </m:oMathPara>
      <w:bookmarkEnd w:id="21"/>
    </w:p>
    <w:p>
      <w:pPr>
        <w:pStyle w:val="FirstParagraph"/>
      </w:pPr>
      <w:r>
        <w:t xml:space="preserve">La</w:t>
      </w:r>
      <w:r>
        <w:t xml:space="preserve"> </w:t>
      </w:r>
      <w:hyperlink w:anchor="eq-total-dynamic">
        <w:r>
          <w:rPr>
            <w:rStyle w:val="Hyperlink"/>
          </w:rPr>
          <w:t xml:space="preserve">Ecuación 2</w:t>
        </w:r>
      </w:hyperlink>
      <w:r>
        <w:t xml:space="preserve"> </w:t>
      </w:r>
      <w:r>
        <w:t xml:space="preserve">es dimensionalmente coherente: todos sus términos tienen unidades de masa por tiempo. Si se integra entre</w:t>
      </w:r>
      <w:r>
        <w:t xml:space="preserve"> </w:t>
      </w:r>
      <m:oMath>
        <m:sSub>
          <m:e>
            <m:r>
              <m:t>t</m:t>
            </m:r>
          </m:e>
          <m:sub>
            <m:r>
              <m:t>0</m:t>
            </m:r>
          </m:sub>
        </m:sSub>
      </m:oMath>
      <w:r>
        <w:t xml:space="preserve"> </w:t>
      </w:r>
      <w:r>
        <w:t xml:space="preserve">y</w:t>
      </w:r>
      <w:r>
        <w:t xml:space="preserve"> </w:t>
      </w:r>
      <m:oMath>
        <m:sSub>
          <m:e>
            <m:r>
              <m:t>t</m:t>
            </m:r>
          </m:e>
          <m:sub>
            <m:r>
              <m:t>1</m:t>
            </m:r>
          </m:sub>
        </m:sSub>
      </m:oMath>
      <w:r>
        <w:t xml:space="preserve">:</w:t>
      </w:r>
    </w:p>
    <w:p>
      <w:pPr>
        <w:pStyle w:val="BodyText"/>
      </w:pPr>
      <w:bookmarkStart w:id="22" w:name="eq-total-integral"/>
      <m:oMathPara>
        <m:oMathParaPr>
          <m:jc m:val="center"/>
        </m:oMathParaPr>
        <m:oMath>
          <m:r>
            <m:t>M</m:t>
          </m:r>
          <m:r>
            <m:rPr>
              <m:sty m:val="p"/>
            </m:rPr>
            <m:t>(</m:t>
          </m:r>
          <m:sSub>
            <m:e>
              <m:r>
                <m:t>t</m:t>
              </m:r>
            </m:e>
            <m:sub>
              <m:r>
                <m:t>1</m:t>
              </m:r>
            </m:sub>
          </m:sSub>
          <m:r>
            <m:rPr>
              <m:sty m:val="p"/>
            </m:rPr>
            <m:t>)</m:t>
          </m:r>
          <m:r>
            <m:rPr>
              <m:sty m:val="p"/>
            </m:rPr>
            <m:t>−</m:t>
          </m:r>
          <m:r>
            <m:t>M</m:t>
          </m:r>
          <m:r>
            <m:rPr>
              <m:sty m:val="p"/>
            </m:rPr>
            <m:t>(</m:t>
          </m:r>
          <m:sSub>
            <m:e>
              <m:r>
                <m:t>t</m:t>
              </m:r>
            </m:e>
            <m:sub>
              <m:r>
                <m:t>0</m:t>
              </m:r>
            </m:sub>
          </m:sSub>
          <m:r>
            <m:rPr>
              <m:sty m:val="p"/>
            </m:rPr>
            <m:t>)</m:t>
          </m:r>
          <m:r>
            <m:rPr>
              <m:sty m:val="p"/>
            </m:rPr>
            <m:t>=</m:t>
          </m:r>
          <m:nary>
            <m:naryPr>
              <m:chr m:val="∫"/>
              <m:limLoc m:val="subSup"/>
              <m:subHide m:val="off"/>
              <m:supHide m:val="off"/>
            </m:naryPr>
            <m:sub>
              <m:sSub>
                <m:e>
                  <m:r>
                    <m:t>t</m:t>
                  </m:r>
                </m:e>
                <m:sub>
                  <m:r>
                    <m:t>0</m:t>
                  </m:r>
                </m:sub>
              </m:sSub>
            </m:sub>
            <m:sup>
              <m:sSub>
                <m:e>
                  <m:r>
                    <m:t>t</m:t>
                  </m:r>
                </m:e>
                <m:sub>
                  <m:r>
                    <m:t>1</m:t>
                  </m:r>
                </m:sub>
              </m:sSub>
            </m:sup>
            <m:e>
              <m:d>
                <m:dPr>
                  <m:begChr m:val="("/>
                  <m:sepChr m:val=""/>
                  <m:endChr m:val=")"/>
                  <m:grow/>
                </m:dPr>
                <m:e>
                  <m:r>
                    <m:rPr>
                      <m:sty m:val="p"/>
                    </m:rPr>
                    <m:t>∑</m:t>
                  </m:r>
                  <m:sSub>
                    <m:e>
                      <m:acc>
                        <m:accPr>
                          <m:chr m:val="̇"/>
                        </m:accPr>
                        <m:e>
                          <m:r>
                            <m:t>m</m:t>
                          </m:r>
                        </m:e>
                      </m:acc>
                    </m:e>
                    <m:sub>
                      <m:r>
                        <m:rPr>
                          <m:sty m:val="p"/>
                        </m:rPr>
                        <m:t>i</m:t>
                      </m:r>
                      <m:r>
                        <m:rPr>
                          <m:sty m:val="p"/>
                        </m:rPr>
                        <m:t>n</m:t>
                      </m:r>
                    </m:sub>
                  </m:sSub>
                  <m:r>
                    <m:rPr>
                      <m:sty m:val="p"/>
                    </m:rPr>
                    <m:t>−</m:t>
                  </m:r>
                  <m:r>
                    <m:rPr>
                      <m:sty m:val="p"/>
                    </m:rPr>
                    <m:t>∑</m:t>
                  </m:r>
                  <m:sSub>
                    <m:e>
                      <m:acc>
                        <m:accPr>
                          <m:chr m:val="̇"/>
                        </m:accPr>
                        <m:e>
                          <m:r>
                            <m:t>m</m:t>
                          </m:r>
                        </m:e>
                      </m:acc>
                    </m:e>
                    <m:sub>
                      <m:r>
                        <m:rPr>
                          <m:sty m:val="p"/>
                        </m:rPr>
                        <m:t>o</m:t>
                      </m:r>
                      <m:r>
                        <m:rPr>
                          <m:sty m:val="p"/>
                        </m:rPr>
                        <m:t>u</m:t>
                      </m:r>
                      <m:r>
                        <m:rPr>
                          <m:sty m:val="p"/>
                        </m:rPr>
                        <m:t>t</m:t>
                      </m:r>
                    </m:sub>
                  </m:sSub>
                </m:e>
              </m:d>
            </m:e>
          </m:nary>
          <m:r>
            <m:t>d</m:t>
          </m:r>
          <m:r>
            <m:t>t</m:t>
          </m:r>
          <m:r>
            <m:rPr>
              <m:sty m:val="p"/>
            </m:rPr>
            <m:t>.</m:t>
          </m:r>
          <m:r>
            <m:t>  </m:t>
          </m:r>
          <m:r>
            <m:rPr>
              <m:sty m:val="p"/>
            </m:rPr>
            <m:t>(</m:t>
          </m:r>
          <m:r>
            <m:t>3</m:t>
          </m:r>
          <m:r>
            <m:rPr>
              <m:sty m:val="p"/>
            </m:rPr>
            <m:t>)</m:t>
          </m:r>
        </m:oMath>
      </m:oMathPara>
      <w:bookmarkEnd w:id="22"/>
    </w:p>
    <w:p>
      <w:pPr>
        <w:pStyle w:val="FirstParagraph"/>
      </w:pPr>
      <w:r>
        <w:t xml:space="preserve">La forma integral es especialmente importante cuando las corrientes varían. Comparar el inventario inicial y final con totales acumulados durante el mismo intervalo evita tratar promedios incompatibles como si fueran simultáneos.</w:t>
      </w:r>
    </w:p>
    <w:bookmarkEnd w:id="23"/>
    <w:bookmarkEnd w:id="24"/>
    <w:bookmarkStart w:id="27" w:name="masa-total-componentes-y-reacción"/>
    <w:p>
      <w:pPr>
        <w:pStyle w:val="Heading1"/>
      </w:pPr>
      <w:r>
        <w:t xml:space="preserve">Masa total, componentes y reacción</w:t>
      </w:r>
    </w:p>
    <w:p>
      <w:pPr>
        <w:pStyle w:val="FirstParagraph"/>
      </w:pPr>
      <w:r>
        <w:t xml:space="preserve">Un balance total responde</w:t>
      </w:r>
      <w:r>
        <w:t xml:space="preserve"> </w:t>
      </w:r>
      <w:r>
        <w:rPr>
          <w:b/>
          <w:bCs/>
        </w:rPr>
        <w:t xml:space="preserve">cuánta masa</w:t>
      </w:r>
      <w:r>
        <w:t xml:space="preserve"> </w:t>
      </w:r>
      <w:r>
        <w:t xml:space="preserve">existe. Un balance de componente responde</w:t>
      </w:r>
      <w:r>
        <w:t xml:space="preserve"> </w:t>
      </w:r>
      <w:r>
        <w:rPr>
          <w:b/>
          <w:bCs/>
        </w:rPr>
        <w:t xml:space="preserve">cuánta masa de una sustancia, fase o categoría definida</w:t>
      </w:r>
      <w:r>
        <w:t xml:space="preserve"> </w:t>
      </w:r>
      <w:r>
        <w:t xml:space="preserve">existe. Si</w:t>
      </w:r>
      <w:r>
        <w:t xml:space="preserve"> </w:t>
      </w:r>
      <m:oMath>
        <m:sSub>
          <m:e>
            <m:r>
              <m:t>w</m:t>
            </m:r>
          </m:e>
          <m:sub>
            <m:r>
              <m:t>i</m:t>
            </m:r>
          </m:sub>
        </m:sSub>
      </m:oMath>
      <w:r>
        <w:t xml:space="preserve"> </w:t>
      </w:r>
      <w:r>
        <w:t xml:space="preserve">es la fracción másica del componente</w:t>
      </w:r>
      <w:r>
        <w:t xml:space="preserve"> </w:t>
      </w:r>
      <m:oMath>
        <m:r>
          <m:t>i</m:t>
        </m:r>
      </m:oMath>
      <w:r>
        <w:t xml:space="preserve"> </w:t>
      </w:r>
      <w:r>
        <w:t xml:space="preserve">y</w:t>
      </w:r>
      <w:r>
        <w:t xml:space="preserve"> </w:t>
      </w:r>
      <m:oMath>
        <m:sSub>
          <m:e>
            <m:r>
              <m:t>M</m:t>
            </m:r>
          </m:e>
          <m:sub>
            <m:r>
              <m:t>i</m:t>
            </m:r>
          </m:sub>
        </m:sSub>
        <m:r>
          <m:rPr>
            <m:sty m:val="p"/>
          </m:rPr>
          <m:t>=</m:t>
        </m:r>
        <m:r>
          <m:t>M</m:t>
        </m:r>
        <m:sSub>
          <m:e>
            <m:r>
              <m:t>w</m:t>
            </m:r>
          </m:e>
          <m:sub>
            <m:r>
              <m:t>i</m:t>
            </m:r>
          </m:sub>
        </m:sSub>
      </m:oMath>
      <w:r>
        <w:t xml:space="preserve">, entonces:</w:t>
      </w:r>
    </w:p>
    <w:p>
      <w:pPr>
        <w:pStyle w:val="BodyText"/>
      </w:pPr>
      <w:bookmarkStart w:id="25" w:name="eq-component"/>
      <m:oMathPara>
        <m:oMathParaPr>
          <m:jc m:val="center"/>
        </m:oMathParaPr>
        <m:oMath>
          <m:f>
            <m:fPr>
              <m:type m:val="bar"/>
            </m:fPr>
            <m:num>
              <m:r>
                <m:t>d</m:t>
              </m:r>
              <m:r>
                <m:rPr>
                  <m:sty m:val="p"/>
                </m:rPr>
                <m:t>(</m:t>
              </m:r>
              <m:r>
                <m:t>M</m:t>
              </m:r>
              <m:sSub>
                <m:e>
                  <m:r>
                    <m:t>w</m:t>
                  </m:r>
                </m:e>
                <m:sub>
                  <m:r>
                    <m:t>i</m:t>
                  </m:r>
                </m:sub>
              </m:sSub>
              <m:r>
                <m:rPr>
                  <m:sty m:val="p"/>
                </m:rPr>
                <m:t>)</m:t>
              </m:r>
            </m:num>
            <m:den>
              <m:r>
                <m:t>d</m:t>
              </m:r>
              <m:r>
                <m:t>t</m:t>
              </m:r>
            </m:den>
          </m:f>
          <m:r>
            <m:rPr>
              <m:sty m:val="p"/>
            </m:rPr>
            <m:t>=</m:t>
          </m:r>
          <m:nary>
            <m:naryPr>
              <m:chr m:val="∑"/>
              <m:limLoc m:val="undOvr"/>
              <m:subHide m:val="off"/>
              <m:supHide m:val="on"/>
            </m:naryPr>
            <m:sub>
              <m:r>
                <m:t>j</m:t>
              </m:r>
              <m:r>
                <m:rPr>
                  <m:sty m:val="p"/>
                </m:rPr>
                <m:t>∈</m:t>
              </m:r>
              <m:r>
                <m:rPr>
                  <m:sty m:val="p"/>
                </m:rPr>
                <m:t>i</m:t>
              </m:r>
              <m:r>
                <m:rPr>
                  <m:sty m:val="p"/>
                </m:rPr>
                <m:t>n</m:t>
              </m:r>
            </m:sub>
            <m:sup>
              <m:r>
                <m:t>​</m:t>
              </m:r>
            </m:sup>
            <m:e>
              <m:sSub>
                <m:e>
                  <m:acc>
                    <m:accPr>
                      <m:chr m:val="̇"/>
                    </m:accPr>
                    <m:e>
                      <m:r>
                        <m:t>m</m:t>
                      </m:r>
                    </m:e>
                  </m:acc>
                </m:e>
                <m:sub>
                  <m:r>
                    <m:t>j</m:t>
                  </m:r>
                </m:sub>
              </m:sSub>
            </m:e>
          </m:nary>
          <m:sSub>
            <m:e>
              <m:r>
                <m:t>w</m:t>
              </m:r>
            </m:e>
            <m:sub>
              <m:r>
                <m:t>i</m:t>
              </m:r>
              <m:r>
                <m:rPr>
                  <m:sty m:val="p"/>
                </m:rPr>
                <m:t>,</m:t>
              </m:r>
              <m:r>
                <m:t>j</m:t>
              </m:r>
            </m:sub>
          </m:sSub>
          <m:r>
            <m:rPr>
              <m:sty m:val="p"/>
            </m:rPr>
            <m:t>−</m:t>
          </m:r>
          <m:nary>
            <m:naryPr>
              <m:chr m:val="∑"/>
              <m:limLoc m:val="undOvr"/>
              <m:subHide m:val="off"/>
              <m:supHide m:val="on"/>
            </m:naryPr>
            <m:sub>
              <m:r>
                <m:t>k</m:t>
              </m:r>
              <m:r>
                <m:rPr>
                  <m:sty m:val="p"/>
                </m:rPr>
                <m:t>∈</m:t>
              </m:r>
              <m:r>
                <m:rPr>
                  <m:sty m:val="p"/>
                </m:rPr>
                <m:t>o</m:t>
              </m:r>
              <m:r>
                <m:rPr>
                  <m:sty m:val="p"/>
                </m:rPr>
                <m:t>u</m:t>
              </m:r>
              <m:r>
                <m:rPr>
                  <m:sty m:val="p"/>
                </m:rPr>
                <m:t>t</m:t>
              </m:r>
            </m:sub>
            <m:sup>
              <m:r>
                <m:t>​</m:t>
              </m:r>
            </m:sup>
            <m:e>
              <m:sSub>
                <m:e>
                  <m:acc>
                    <m:accPr>
                      <m:chr m:val="̇"/>
                    </m:accPr>
                    <m:e>
                      <m:r>
                        <m:t>m</m:t>
                      </m:r>
                    </m:e>
                  </m:acc>
                </m:e>
                <m:sub>
                  <m:r>
                    <m:t>k</m:t>
                  </m:r>
                </m:sub>
              </m:sSub>
            </m:e>
          </m:nary>
          <m:sSub>
            <m:e>
              <m:r>
                <m:t>w</m:t>
              </m:r>
            </m:e>
            <m:sub>
              <m:r>
                <m:t>i</m:t>
              </m:r>
              <m:r>
                <m:rPr>
                  <m:sty m:val="p"/>
                </m:rPr>
                <m:t>,</m:t>
              </m:r>
              <m:r>
                <m:t>k</m:t>
              </m:r>
            </m:sub>
          </m:sSub>
          <m:r>
            <m:rPr>
              <m:sty m:val="p"/>
            </m:rPr>
            <m:t>+</m:t>
          </m:r>
          <m:sSub>
            <m:e>
              <m:acc>
                <m:accPr>
                  <m:chr m:val="̇"/>
                </m:accPr>
                <m:e>
                  <m:r>
                    <m:t>m</m:t>
                  </m:r>
                </m:e>
              </m:acc>
            </m:e>
            <m:sub>
              <m:r>
                <m:t>i</m:t>
              </m:r>
              <m:r>
                <m:rPr>
                  <m:sty m:val="p"/>
                </m:rPr>
                <m:t>,</m:t>
              </m:r>
              <m:r>
                <m:rPr>
                  <m:sty m:val="p"/>
                </m:rPr>
                <m:t>g</m:t>
              </m:r>
              <m:r>
                <m:rPr>
                  <m:sty m:val="p"/>
                </m:rPr>
                <m:t>e</m:t>
              </m:r>
              <m:r>
                <m:rPr>
                  <m:sty m:val="p"/>
                </m:rPr>
                <m:t>n</m:t>
              </m:r>
            </m:sub>
          </m:sSub>
          <m:r>
            <m:rPr>
              <m:sty m:val="p"/>
            </m:rPr>
            <m:t>−</m:t>
          </m:r>
          <m:sSub>
            <m:e>
              <m:acc>
                <m:accPr>
                  <m:chr m:val="̇"/>
                </m:accPr>
                <m:e>
                  <m:r>
                    <m:t>m</m:t>
                  </m:r>
                </m:e>
              </m:acc>
            </m:e>
            <m:sub>
              <m:r>
                <m:t>i</m:t>
              </m:r>
              <m:r>
                <m:rPr>
                  <m:sty m:val="p"/>
                </m:rPr>
                <m:t>,</m:t>
              </m:r>
              <m:r>
                <m:rPr>
                  <m:sty m:val="p"/>
                </m:rPr>
                <m:t>c</m:t>
              </m:r>
              <m:r>
                <m:rPr>
                  <m:sty m:val="p"/>
                </m:rPr>
                <m:t>o</m:t>
              </m:r>
              <m:r>
                <m:rPr>
                  <m:sty m:val="p"/>
                </m:rPr>
                <m:t>n</m:t>
              </m:r>
              <m:r>
                <m:rPr>
                  <m:sty m:val="p"/>
                </m:rPr>
                <m:t>s</m:t>
              </m:r>
            </m:sub>
          </m:sSub>
          <m:r>
            <m:rPr>
              <m:sty m:val="p"/>
            </m:rPr>
            <m:t>.</m:t>
          </m:r>
          <m:r>
            <m:t>  </m:t>
          </m:r>
          <m:r>
            <m:rPr>
              <m:sty m:val="p"/>
            </m:rPr>
            <m:t>(</m:t>
          </m:r>
          <m:r>
            <m:t>4</m:t>
          </m:r>
          <m:r>
            <m:rPr>
              <m:sty m:val="p"/>
            </m:rPr>
            <m:t>)</m:t>
          </m:r>
        </m:oMath>
      </m:oMathPara>
      <w:bookmarkEnd w:id="25"/>
    </w:p>
    <w:p>
      <w:pPr>
        <w:pStyle w:val="FirstParagraph"/>
      </w:pPr>
      <w:r>
        <w:t xml:space="preserve">En un proceso no reactivo, los términos de generación y consumo del componente son cero. En un reactor, una especie puede consumirse y otra generarse, aunque la masa total siga conservándose. Confundir ambos niveles conduce a errores comunes: afirmar que una especie “desapareció” sin considerar reacción, o introducir generación en el balance total como si una reacción creara masa.</w:t>
      </w:r>
    </w:p>
    <w:p>
      <w:pPr>
        <w:pStyle w:val="BodyText"/>
      </w:pPr>
      <w:r>
        <w:t xml:space="preserve">Las fracciones másicas deben satisfacer:</w:t>
      </w:r>
    </w:p>
    <w:p>
      <w:pPr>
        <w:pStyle w:val="BodyText"/>
      </w:pPr>
      <w:bookmarkStart w:id="26" w:name="eq-fractions"/>
      <m:oMathPara>
        <m:oMathParaPr>
          <m:jc m:val="center"/>
        </m:oMathParaPr>
        <m:oMath>
          <m:nary>
            <m:naryPr>
              <m:chr m:val="∑"/>
              <m:limLoc m:val="undOvr"/>
              <m:subHide m:val="off"/>
              <m:supHide m:val="on"/>
            </m:naryPr>
            <m:sub>
              <m:r>
                <m:t>i</m:t>
              </m:r>
            </m:sub>
            <m:sup>
              <m:r>
                <m:t>​</m:t>
              </m:r>
            </m:sup>
            <m:e>
              <m:sSub>
                <m:e>
                  <m:r>
                    <m:t>w</m:t>
                  </m:r>
                </m:e>
                <m:sub>
                  <m:r>
                    <m:t>i</m:t>
                  </m:r>
                </m:sub>
              </m:sSub>
            </m:e>
          </m:nary>
          <m:r>
            <m:rPr>
              <m:sty m:val="p"/>
            </m:rPr>
            <m:t>=</m:t>
          </m:r>
          <m:r>
            <m:t>1</m:t>
          </m:r>
          <m:r>
            <m:rPr>
              <m:sty m:val="p"/>
            </m:rPr>
            <m:t>,</m:t>
          </m:r>
          <m:r>
            <m:t>  </m:t>
          </m:r>
          <m:r>
            <m:t>0</m:t>
          </m:r>
          <m:r>
            <m:rPr>
              <m:sty m:val="p"/>
            </m:rPr>
            <m:t>≤</m:t>
          </m:r>
          <m:sSub>
            <m:e>
              <m:r>
                <m:t>w</m:t>
              </m:r>
            </m:e>
            <m:sub>
              <m:r>
                <m:t>i</m:t>
              </m:r>
            </m:sub>
          </m:sSub>
          <m:r>
            <m:rPr>
              <m:sty m:val="p"/>
            </m:rPr>
            <m:t>≤</m:t>
          </m:r>
          <m:r>
            <m:t>1</m:t>
          </m:r>
          <m:r>
            <m:rPr>
              <m:sty m:val="p"/>
            </m:rPr>
            <m:t>.</m:t>
          </m:r>
          <m:r>
            <m:t>  </m:t>
          </m:r>
          <m:r>
            <m:rPr>
              <m:sty m:val="p"/>
            </m:rPr>
            <m:t>(</m:t>
          </m:r>
          <m:r>
            <m:t>5</m:t>
          </m:r>
          <m:r>
            <m:rPr>
              <m:sty m:val="p"/>
            </m:rPr>
            <m:t>)</m:t>
          </m:r>
        </m:oMath>
      </m:oMathPara>
      <w:bookmarkEnd w:id="26"/>
    </w:p>
    <w:p>
      <w:pPr>
        <w:pStyle w:val="FirstParagraph"/>
      </w:pPr>
      <w:r>
        <w:t xml:space="preserve">Esta restricción es una ecuación de consistencia. Una composición cuyos componentes suman 0.97 o 1.04 no debe normalizarse de forma automática sin investigar redondeo, base húmeda/seca, componentes omitidos o métodos analíticos incompatibles.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Símbolo</w:t>
            </w:r>
          </w:p>
        </w:tc>
        <w:tc>
          <w:tcPr/>
          <w:p>
            <w:pPr>
              <w:pStyle w:val="Compact"/>
            </w:pPr>
            <w:r>
              <w:t xml:space="preserve">Significado</w:t>
            </w:r>
          </w:p>
        </w:tc>
        <w:tc>
          <w:tcPr/>
          <w:p>
            <w:pPr>
              <w:pStyle w:val="Compact"/>
            </w:pPr>
            <w:r>
              <w:t xml:space="preserve">Unidad típica</w:t>
            </w:r>
          </w:p>
        </w:tc>
      </w:tr>
      <w:tr>
        <w:tc>
          <w:tcPr/>
          <w:p>
            <w:pPr>
              <w:pStyle w:val="Compact"/>
            </w:pPr>
            <m:oMath>
              <m:r>
                <m:t>M</m:t>
              </m:r>
            </m:oMath>
            <w:r>
              <w:t xml:space="preserve">​</w:t>
            </w:r>
          </w:p>
        </w:tc>
        <w:tc>
          <w:tcPr/>
          <w:p>
            <w:pPr>
              <w:pStyle w:val="Compact"/>
            </w:pPr>
            <w:r>
              <w:t xml:space="preserve">inventario total dentro de la frontera</w:t>
            </w:r>
          </w:p>
        </w:tc>
        <w:tc>
          <w:tcPr/>
          <w:p>
            <w:pPr>
              <w:pStyle w:val="Compact"/>
            </w:pPr>
            <w:r>
              <w:t xml:space="preserve">kg</w:t>
            </w:r>
          </w:p>
        </w:tc>
      </w:tr>
      <w:tr>
        <w:tc>
          <w:tcPr/>
          <w:p>
            <w:pPr>
              <w:pStyle w:val="Compact"/>
            </w:pPr>
            <m:oMath>
              <m:sSub>
                <m:e>
                  <m:r>
                    <m:t>M</m:t>
                  </m:r>
                </m:e>
                <m:sub>
                  <m:r>
                    <m:t>i</m:t>
                  </m:r>
                </m:sub>
              </m:sSub>
            </m:oMath>
            <w:r>
              <w:t xml:space="preserve">​</w:t>
            </w:r>
          </w:p>
        </w:tc>
        <w:tc>
          <w:tcPr/>
          <w:p>
            <w:pPr>
              <w:pStyle w:val="Compact"/>
            </w:pPr>
            <w:r>
              <w:t xml:space="preserve">inventario del componente</w:t>
            </w:r>
            <w:r>
              <w:t xml:space="preserve"> </w:t>
            </w:r>
            <m:oMath>
              <m:r>
                <m:t>i</m:t>
              </m:r>
            </m:oMath>
          </w:p>
        </w:tc>
        <w:tc>
          <w:tcPr/>
          <w:p>
            <w:pPr>
              <w:pStyle w:val="Compact"/>
            </w:pPr>
            <w:r>
              <w:t xml:space="preserve">kg</w:t>
            </w:r>
          </w:p>
        </w:tc>
      </w:tr>
      <w:tr>
        <w:tc>
          <w:tcPr/>
          <w:p>
            <w:pPr>
              <w:pStyle w:val="Compact"/>
            </w:pPr>
            <m:oMath>
              <m:acc>
                <m:accPr>
                  <m:chr m:val="̇"/>
                </m:accPr>
                <m:e>
                  <m:r>
                    <m:t>m</m:t>
                  </m:r>
                </m:e>
              </m:acc>
            </m:oMath>
            <w:r>
              <w:t xml:space="preserve">​</w:t>
            </w:r>
          </w:p>
        </w:tc>
        <w:tc>
          <w:tcPr/>
          <w:p>
            <w:pPr>
              <w:pStyle w:val="Compact"/>
            </w:pPr>
            <w:r>
              <w:t xml:space="preserve">flujo másico</w:t>
            </w:r>
          </w:p>
        </w:tc>
        <w:tc>
          <w:tcPr/>
          <w:p>
            <w:pPr>
              <w:pStyle w:val="Compact"/>
            </w:pPr>
            <w:r>
              <w:t xml:space="preserve">kg/h</w:t>
            </w:r>
          </w:p>
        </w:tc>
      </w:tr>
      <w:tr>
        <w:tc>
          <w:tcPr/>
          <w:p>
            <w:pPr>
              <w:pStyle w:val="Compact"/>
            </w:pPr>
            <m:oMath>
              <m:sSub>
                <m:e>
                  <m:r>
                    <m:t>w</m:t>
                  </m:r>
                </m:e>
                <m:sub>
                  <m:r>
                    <m:t>i</m:t>
                  </m:r>
                </m:sub>
              </m:sSub>
            </m:oMath>
            <w:r>
              <w:t xml:space="preserve">​</w:t>
            </w:r>
          </w:p>
        </w:tc>
        <w:tc>
          <w:tcPr/>
          <w:p>
            <w:pPr>
              <w:pStyle w:val="Compact"/>
            </w:pPr>
            <w:r>
              <w:t xml:space="preserve">fracción másica del componente</w:t>
            </w:r>
            <w:r>
              <w:t xml:space="preserve"> </w:t>
            </w:r>
            <m:oMath>
              <m:r>
                <m:t>i</m:t>
              </m:r>
            </m:oMath>
          </w:p>
        </w:tc>
        <w:tc>
          <w:tcPr/>
          <w:p>
            <w:pPr>
              <w:pStyle w:val="Compact"/>
            </w:pPr>
            <w:r>
              <w:t xml:space="preserve">kg/kg</w:t>
            </w:r>
          </w:p>
        </w:tc>
      </w:tr>
      <w:tr>
        <w:tc>
          <w:tcPr/>
          <w:p>
            <w:pPr>
              <w:pStyle w:val="Compact"/>
            </w:pPr>
            <m:oMath>
              <m:r>
                <m:t>t</m:t>
              </m:r>
            </m:oMath>
            <w:r>
              <w:t xml:space="preserve">​</w:t>
            </w:r>
          </w:p>
        </w:tc>
        <w:tc>
          <w:tcPr/>
          <w:p>
            <w:pPr>
              <w:pStyle w:val="Compact"/>
            </w:pPr>
            <w:r>
              <w:t xml:space="preserve">tiempo</w:t>
            </w:r>
          </w:p>
        </w:tc>
        <w:tc>
          <w:tcPr/>
          <w:p>
            <w:pPr>
              <w:pStyle w:val="Compact"/>
            </w:pPr>
            <w:r>
              <w:t xml:space="preserve">h</w:t>
            </w:r>
          </w:p>
        </w:tc>
      </w:tr>
      <w:tr>
        <w:tc>
          <w:tcPr/>
          <w:p>
            <w:pPr>
              <w:pStyle w:val="Compact"/>
            </w:pPr>
            <m:oMath>
              <m:r>
                <m:t>τ</m:t>
              </m:r>
            </m:oMath>
            <w:r>
              <w:t xml:space="preserve">​</w:t>
            </w:r>
          </w:p>
        </w:tc>
        <w:tc>
          <w:tcPr/>
          <w:p>
            <w:pPr>
              <w:pStyle w:val="Compact"/>
            </w:pPr>
            <w:r>
              <w:t xml:space="preserve">tiempo espacial o constante característica</w:t>
            </w:r>
          </w:p>
        </w:tc>
        <w:tc>
          <w:tcPr/>
          <w:p>
            <w:pPr>
              <w:pStyle w:val="Compact"/>
            </w:pPr>
            <w:r>
              <w:t xml:space="preserve">h</w:t>
            </w:r>
          </w:p>
        </w:tc>
      </w:tr>
    </w:tbl>
    <w:bookmarkEnd w:id="27"/>
    <w:bookmarkStart w:id="29" w:name="Xea981db8c8abe19ddd442c82df992c6a5cb5ce2"/>
    <w:p>
      <w:pPr>
        <w:pStyle w:val="Heading1"/>
      </w:pPr>
      <w:r>
        <w:t xml:space="preserve">Estado estacionario no significa inmovilidad</w:t>
      </w:r>
    </w:p>
    <w:p>
      <w:pPr>
        <w:pStyle w:val="FirstParagraph"/>
      </w:pPr>
      <w:r>
        <w:t xml:space="preserve">Un proceso está en</w:t>
      </w:r>
      <w:r>
        <w:t xml:space="preserve"> </w:t>
      </w:r>
      <w:r>
        <w:rPr>
          <w:b/>
          <w:bCs/>
        </w:rPr>
        <w:t xml:space="preserve">estado estacionario</w:t>
      </w:r>
      <w:r>
        <w:t xml:space="preserve"> </w:t>
      </w:r>
      <w:r>
        <w:t xml:space="preserve">cuando las variables dentro de la frontera no cambian con el tiempo a la escala de observación. Puede haber grandes flujos de entrada y salida; lo que desaparece es la acumulación neta:</w:t>
      </w:r>
    </w:p>
    <w:p>
      <w:pPr>
        <w:pStyle w:val="BodyText"/>
      </w:pPr>
      <w:bookmarkStart w:id="28" w:name="eq-steady"/>
      <m:oMathPara>
        <m:oMathParaPr>
          <m:jc m:val="center"/>
        </m:oMathParaPr>
        <m:oMath>
          <m:f>
            <m:fPr>
              <m:type m:val="bar"/>
            </m:fPr>
            <m:num>
              <m:r>
                <m:t>d</m:t>
              </m:r>
              <m:r>
                <m:t>M</m:t>
              </m:r>
            </m:num>
            <m:den>
              <m:r>
                <m:t>d</m:t>
              </m:r>
              <m:r>
                <m:t>t</m:t>
              </m:r>
            </m:den>
          </m:f>
          <m:r>
            <m:rPr>
              <m:sty m:val="p"/>
            </m:rPr>
            <m:t>=</m:t>
          </m:r>
          <m:r>
            <m:t>0</m:t>
          </m:r>
          <m:r>
            <m:t> </m:t>
          </m:r>
          <m:r>
            <m:rPr>
              <m:sty m:val="p"/>
            </m:rPr>
            <m:t>⇒</m:t>
          </m:r>
          <m:r>
            <m:t> </m:t>
          </m:r>
          <m:r>
            <m:rPr>
              <m:sty m:val="p"/>
            </m:rPr>
            <m:t>∑</m:t>
          </m:r>
          <m:sSub>
            <m:e>
              <m:acc>
                <m:accPr>
                  <m:chr m:val="̇"/>
                </m:accPr>
                <m:e>
                  <m:r>
                    <m:t>m</m:t>
                  </m:r>
                </m:e>
              </m:acc>
            </m:e>
            <m:sub>
              <m:r>
                <m:rPr>
                  <m:sty m:val="p"/>
                </m:rPr>
                <m:t>i</m:t>
              </m:r>
              <m:r>
                <m:rPr>
                  <m:sty m:val="p"/>
                </m:rPr>
                <m:t>n</m:t>
              </m:r>
            </m:sub>
          </m:sSub>
          <m:r>
            <m:rPr>
              <m:sty m:val="p"/>
            </m:rPr>
            <m:t>=</m:t>
          </m:r>
          <m:r>
            <m:rPr>
              <m:sty m:val="p"/>
            </m:rPr>
            <m:t>∑</m:t>
          </m:r>
          <m:sSub>
            <m:e>
              <m:acc>
                <m:accPr>
                  <m:chr m:val="̇"/>
                </m:accPr>
                <m:e>
                  <m:r>
                    <m:t>m</m:t>
                  </m:r>
                </m:e>
              </m:acc>
            </m:e>
            <m:sub>
              <m:r>
                <m:rPr>
                  <m:sty m:val="p"/>
                </m:rPr>
                <m:t>o</m:t>
              </m:r>
              <m:r>
                <m:rPr>
                  <m:sty m:val="p"/>
                </m:rPr>
                <m:t>u</m:t>
              </m:r>
              <m:r>
                <m:rPr>
                  <m:sty m:val="p"/>
                </m:rPr>
                <m:t>t</m:t>
              </m:r>
            </m:sub>
          </m:sSub>
          <m:r>
            <m:rPr>
              <m:sty m:val="p"/>
            </m:rPr>
            <m:t>.</m:t>
          </m:r>
          <m:r>
            <m:t>  </m:t>
          </m:r>
          <m:r>
            <m:rPr>
              <m:sty m:val="p"/>
            </m:rPr>
            <m:t>(</m:t>
          </m:r>
          <m:r>
            <m:t>6</m:t>
          </m:r>
          <m:r>
            <m:rPr>
              <m:sty m:val="p"/>
            </m:rPr>
            <m:t>)</m:t>
          </m:r>
        </m:oMath>
      </m:oMathPara>
      <w:bookmarkEnd w:id="28"/>
    </w:p>
    <w:p>
      <w:pPr>
        <w:pStyle w:val="FirstParagraph"/>
      </w:pPr>
      <w:r>
        <w:t xml:space="preserve">“Estacionario” no significa que cada medición sea idéntica segundo a segundo. Las señales reales contienen ruido, pulsaciones y variación operacional. La declaración requiere una ventana temporal: un tanque puede parecer estacionario durante diez minutos y mostrar acumulación durante un turno completo. El intervalo debe ser suficientemente largo para representar el proceso y suficientemente corto para no mezclar regímenes distintos.</w:t>
      </w:r>
    </w:p>
    <w:p>
      <w:pPr>
        <w:pStyle w:val="BodyText"/>
      </w:pPr>
      <w:r>
        <w:t xml:space="preserve">También es posible que el balance total esté en estado estacionario mientras un componente sea transitorio. Si entran y salen 100 kg/h de una mezcla, el inventario total puede permanecer constante; si la composición de entrada cambia, el componente se acumula hasta que la salida se adapta. Este punto se demostrará con el tanque transitorio.</w:t>
      </w:r>
    </w:p>
    <w:bookmarkEnd w:id="29"/>
    <w:bookmarkStart w:id="30" w:name="Xa8ad6972c9440a28cda0577c09d281cc633454a"/>
    <w:p>
      <w:pPr>
        <w:pStyle w:val="Heading1"/>
      </w:pPr>
      <w:r>
        <w:t xml:space="preserve">Frontera, base de cálculo y ventana temporal</w:t>
      </w:r>
    </w:p>
    <w:p>
      <w:pPr>
        <w:pStyle w:val="FirstParagraph"/>
      </w:pPr>
      <w:r>
        <w:t xml:space="preserve">La</w:t>
      </w:r>
      <w:r>
        <w:t xml:space="preserve"> </w:t>
      </w:r>
      <w:r>
        <w:rPr>
          <w:b/>
          <w:bCs/>
        </w:rPr>
        <w:t xml:space="preserve">base de cálculo</w:t>
      </w:r>
      <w:r>
        <w:t xml:space="preserve"> </w:t>
      </w:r>
      <w:r>
        <w:t xml:space="preserve">fija la cantidad de referencia: 100 kg de alimentación, 1 h de operación, un lote, un mol de reactivo o un día de producción. No cambia la física, pero hace comparables las cifras y evita mezclar cantidades totales con tasas.</w:t>
      </w:r>
    </w:p>
    <w:p>
      <w:pPr>
        <w:pStyle w:val="BodyText"/>
      </w:pPr>
      <w:r>
        <w:t xml:space="preserve">Una base útil debe declarar al menos:</w:t>
      </w:r>
    </w:p>
    <w:p>
      <w:pPr>
        <w:pStyle w:val="Compact"/>
        <w:numPr>
          <w:ilvl w:val="0"/>
          <w:numId w:val="1002"/>
        </w:numPr>
      </w:pPr>
      <w:r>
        <w:t xml:space="preserve">la frontera física;</w:t>
      </w:r>
    </w:p>
    <w:p>
      <w:pPr>
        <w:pStyle w:val="Compact"/>
        <w:numPr>
          <w:ilvl w:val="0"/>
          <w:numId w:val="1002"/>
        </w:numPr>
      </w:pPr>
      <w:r>
        <w:t xml:space="preserve">el intervalo o régimen temporal;</w:t>
      </w:r>
    </w:p>
    <w:p>
      <w:pPr>
        <w:pStyle w:val="Compact"/>
        <w:numPr>
          <w:ilvl w:val="0"/>
          <w:numId w:val="1002"/>
        </w:numPr>
      </w:pPr>
      <w:r>
        <w:t xml:space="preserve">la unidad de masa o cantidad de sustancia;</w:t>
      </w:r>
    </w:p>
    <w:p>
      <w:pPr>
        <w:pStyle w:val="Compact"/>
        <w:numPr>
          <w:ilvl w:val="0"/>
          <w:numId w:val="1002"/>
        </w:numPr>
      </w:pPr>
      <w:r>
        <w:t xml:space="preserve">la base de composición —húmeda, seca, libre de cierto componente—;</w:t>
      </w:r>
    </w:p>
    <w:p>
      <w:pPr>
        <w:pStyle w:val="Compact"/>
        <w:numPr>
          <w:ilvl w:val="0"/>
          <w:numId w:val="1002"/>
        </w:numPr>
      </w:pPr>
      <w:r>
        <w:t xml:space="preserve">la convención de signos;</w:t>
      </w:r>
    </w:p>
    <w:p>
      <w:pPr>
        <w:pStyle w:val="Compact"/>
        <w:numPr>
          <w:ilvl w:val="0"/>
          <w:numId w:val="1002"/>
        </w:numPr>
      </w:pPr>
      <w:r>
        <w:t xml:space="preserve">el tratamiento de inventarios inicial y final;</w:t>
      </w:r>
    </w:p>
    <w:p>
      <w:pPr>
        <w:pStyle w:val="Compact"/>
        <w:numPr>
          <w:ilvl w:val="0"/>
          <w:numId w:val="1002"/>
        </w:numPr>
      </w:pPr>
      <w:r>
        <w:t xml:space="preserve">la precisión justificada por las mediciones.</w:t>
      </w:r>
    </w:p>
    <w:p>
      <w:pPr>
        <w:pStyle w:val="FirstParagraph"/>
      </w:pPr>
      <w:r>
        <w:t xml:space="preserve">Si una balanza reporta kilogramos por lote y un caudalímetro reporta kilogramos por hora, no pueden sumarse hasta integrar el caudal o dividir la masa por un tiempo compatible. Si la alimentación está en base húmeda y el producto en base seca, la comparación exige transformar ambas a una base común.</w:t>
      </w:r>
    </w:p>
    <w:bookmarkEnd w:id="30"/>
    <w:bookmarkStart w:id="32" w:name="Xcf0b14beacf1caafb0bf4bd0929a79640277e26"/>
    <w:p>
      <w:pPr>
        <w:pStyle w:val="Heading1"/>
      </w:pPr>
      <w:r>
        <w:t xml:space="preserve">Grados de libertad: ¿el problema puede resolverse?</w:t>
      </w:r>
    </w:p>
    <w:p>
      <w:pPr>
        <w:pStyle w:val="FirstParagraph"/>
      </w:pPr>
      <w:r>
        <w:t xml:space="preserve">Los</w:t>
      </w:r>
      <w:r>
        <w:t xml:space="preserve"> </w:t>
      </w:r>
      <w:r>
        <w:rPr>
          <w:b/>
          <w:bCs/>
        </w:rPr>
        <w:t xml:space="preserve">grados de libertad</w:t>
      </w:r>
      <w:r>
        <w:t xml:space="preserve"> </w:t>
      </w:r>
      <w:r>
        <w:t xml:space="preserve">(GDL) miden la diferencia entre incógnitas y ecuaciones independientes:</w:t>
      </w:r>
    </w:p>
    <w:p>
      <w:pPr>
        <w:pStyle w:val="BodyText"/>
      </w:pPr>
      <w:bookmarkStart w:id="31" w:name="eq-dof"/>
      <m:oMathPara>
        <m:oMathParaPr>
          <m:jc m:val="center"/>
        </m:oMathParaPr>
        <m:oMath>
          <m:sSub>
            <m:e>
              <m:r>
                <m:t>N</m:t>
              </m:r>
            </m:e>
            <m:sub>
              <m:r>
                <m:rPr>
                  <m:sty m:val="p"/>
                </m:rPr>
                <m:t>G</m:t>
              </m:r>
              <m:r>
                <m:rPr>
                  <m:sty m:val="p"/>
                </m:rPr>
                <m:t>D</m:t>
              </m:r>
              <m:r>
                <m:rPr>
                  <m:sty m:val="p"/>
                </m:rPr>
                <m:t>L</m:t>
              </m:r>
            </m:sub>
          </m:sSub>
          <m:r>
            <m:rPr>
              <m:sty m:val="p"/>
            </m:rPr>
            <m:t>=</m:t>
          </m:r>
          <m:sSub>
            <m:e>
              <m:r>
                <m:t>N</m:t>
              </m:r>
            </m:e>
            <m:sub>
              <m:r>
                <m:rPr>
                  <m:sty m:val="p"/>
                </m:rPr>
                <m:t>i</m:t>
              </m:r>
              <m:r>
                <m:rPr>
                  <m:sty m:val="p"/>
                </m:rPr>
                <m:t>n</m:t>
              </m:r>
              <m:r>
                <m:rPr>
                  <m:sty m:val="p"/>
                </m:rPr>
                <m:t>c</m:t>
              </m:r>
              <m:r>
                <m:rPr>
                  <m:sty m:val="p"/>
                </m:rPr>
                <m:t>ó</m:t>
              </m:r>
              <m:r>
                <m:rPr>
                  <m:sty m:val="p"/>
                </m:rPr>
                <m:t>g</m:t>
              </m:r>
              <m:r>
                <m:rPr>
                  <m:sty m:val="p"/>
                </m:rPr>
                <m:t>n</m:t>
              </m:r>
              <m:r>
                <m:rPr>
                  <m:sty m:val="p"/>
                </m:rPr>
                <m:t>i</m:t>
              </m:r>
              <m:r>
                <m:rPr>
                  <m:sty m:val="p"/>
                </m:rPr>
                <m:t>t</m:t>
              </m:r>
              <m:r>
                <m:rPr>
                  <m:sty m:val="p"/>
                </m:rPr>
                <m:t>a</m:t>
              </m:r>
              <m:r>
                <m:rPr>
                  <m:sty m:val="p"/>
                </m:rPr>
                <m:t>s</m:t>
              </m:r>
            </m:sub>
          </m:sSub>
          <m:r>
            <m:rPr>
              <m:sty m:val="p"/>
            </m:rPr>
            <m:t>−</m:t>
          </m:r>
          <m:sSub>
            <m:e>
              <m:r>
                <m:t>N</m:t>
              </m:r>
            </m:e>
            <m:sub>
              <m:r>
                <m:rPr>
                  <m:sty m:val="p"/>
                </m:rPr>
                <m:t>e</m:t>
              </m:r>
              <m:r>
                <m:rPr>
                  <m:sty m:val="p"/>
                </m:rPr>
                <m:t>c</m:t>
              </m:r>
              <m:r>
                <m:rPr>
                  <m:sty m:val="p"/>
                </m:rPr>
                <m:t>u</m:t>
              </m:r>
              <m:r>
                <m:rPr>
                  <m:sty m:val="p"/>
                </m:rPr>
                <m:t>a</m:t>
              </m:r>
              <m:r>
                <m:rPr>
                  <m:sty m:val="p"/>
                </m:rPr>
                <m:t>c</m:t>
              </m:r>
              <m:r>
                <m:rPr>
                  <m:sty m:val="p"/>
                </m:rPr>
                <m:t>i</m:t>
              </m:r>
              <m:r>
                <m:rPr>
                  <m:sty m:val="p"/>
                </m:rPr>
                <m:t>o</m:t>
              </m:r>
              <m:r>
                <m:rPr>
                  <m:sty m:val="p"/>
                </m:rPr>
                <m:t>n</m:t>
              </m:r>
              <m:r>
                <m:rPr>
                  <m:sty m:val="p"/>
                </m:rPr>
                <m:t>e</m:t>
              </m:r>
              <m:r>
                <m:rPr>
                  <m:sty m:val="p"/>
                </m:rPr>
                <m:t>s</m:t>
              </m:r>
              <m:r>
                <m:rPr>
                  <m:sty m:val="p"/>
                </m:rPr>
                <m:t> </m:t>
              </m:r>
              <m:r>
                <m:rPr>
                  <m:sty m:val="p"/>
                </m:rPr>
                <m:t>i</m:t>
              </m:r>
              <m:r>
                <m:rPr>
                  <m:sty m:val="p"/>
                </m:rPr>
                <m:t>n</m:t>
              </m:r>
              <m:r>
                <m:rPr>
                  <m:sty m:val="p"/>
                </m:rPr>
                <m:t>d</m:t>
              </m:r>
              <m:r>
                <m:rPr>
                  <m:sty m:val="p"/>
                </m:rPr>
                <m:t>e</m:t>
              </m:r>
              <m:r>
                <m:rPr>
                  <m:sty m:val="p"/>
                </m:rPr>
                <m:t>p</m:t>
              </m:r>
              <m:r>
                <m:rPr>
                  <m:sty m:val="p"/>
                </m:rPr>
                <m:t>e</m:t>
              </m:r>
              <m:r>
                <m:rPr>
                  <m:sty m:val="p"/>
                </m:rPr>
                <m:t>n</m:t>
              </m:r>
              <m:r>
                <m:rPr>
                  <m:sty m:val="p"/>
                </m:rPr>
                <m:t>d</m:t>
              </m:r>
              <m:r>
                <m:rPr>
                  <m:sty m:val="p"/>
                </m:rPr>
                <m:t>i</m:t>
              </m:r>
              <m:r>
                <m:rPr>
                  <m:sty m:val="p"/>
                </m:rPr>
                <m:t>e</m:t>
              </m:r>
              <m:r>
                <m:rPr>
                  <m:sty m:val="p"/>
                </m:rPr>
                <m:t>n</m:t>
              </m:r>
              <m:r>
                <m:rPr>
                  <m:sty m:val="p"/>
                </m:rPr>
                <m:t>t</m:t>
              </m:r>
              <m:r>
                <m:rPr>
                  <m:sty m:val="p"/>
                </m:rPr>
                <m:t>e</m:t>
              </m:r>
              <m:r>
                <m:rPr>
                  <m:sty m:val="p"/>
                </m:rPr>
                <m:t>s</m:t>
              </m:r>
            </m:sub>
          </m:sSub>
          <m:r>
            <m:rPr>
              <m:sty m:val="p"/>
            </m:rPr>
            <m:t>.</m:t>
          </m:r>
          <m:r>
            <m:t>  </m:t>
          </m:r>
          <m:r>
            <m:rPr>
              <m:sty m:val="p"/>
            </m:rPr>
            <m:t>(</m:t>
          </m:r>
          <m:r>
            <m:t>7</m:t>
          </m:r>
          <m:r>
            <m:rPr>
              <m:sty m:val="p"/>
            </m:rPr>
            <m:t>)</m:t>
          </m:r>
        </m:oMath>
      </m:oMathPara>
      <w:bookmarkEnd w:id="31"/>
    </w:p>
    <w:p>
      <w:pPr>
        <w:pStyle w:val="Compact"/>
        <w:numPr>
          <w:ilvl w:val="0"/>
          <w:numId w:val="1003"/>
        </w:numPr>
      </w:pPr>
      <m:oMath>
        <m:sSub>
          <m:e>
            <m:r>
              <m:t>N</m:t>
            </m:r>
          </m:e>
          <m:sub>
            <m:r>
              <m:rPr>
                <m:sty m:val="p"/>
              </m:rPr>
              <m:t>G</m:t>
            </m:r>
            <m:r>
              <m:rPr>
                <m:sty m:val="p"/>
              </m:rPr>
              <m:t>D</m:t>
            </m:r>
            <m:r>
              <m:rPr>
                <m:sty m:val="p"/>
              </m:rPr>
              <m:t>L</m:t>
            </m:r>
          </m:sub>
        </m:sSub>
        <m:r>
          <m:rPr>
            <m:sty m:val="p"/>
          </m:rPr>
          <m:t>=</m:t>
        </m:r>
        <m:r>
          <m:t>0</m:t>
        </m:r>
      </m:oMath>
      <w:r>
        <w:t xml:space="preserve">: el sistema está exactamente especificado y puede tener solución única.</w:t>
      </w:r>
    </w:p>
    <w:p>
      <w:pPr>
        <w:pStyle w:val="Compact"/>
        <w:numPr>
          <w:ilvl w:val="0"/>
          <w:numId w:val="1003"/>
        </w:numPr>
      </w:pPr>
      <m:oMath>
        <m:sSub>
          <m:e>
            <m:r>
              <m:t>N</m:t>
            </m:r>
          </m:e>
          <m:sub>
            <m:r>
              <m:rPr>
                <m:sty m:val="p"/>
              </m:rPr>
              <m:t>G</m:t>
            </m:r>
            <m:r>
              <m:rPr>
                <m:sty m:val="p"/>
              </m:rPr>
              <m:t>D</m:t>
            </m:r>
            <m:r>
              <m:rPr>
                <m:sty m:val="p"/>
              </m:rPr>
              <m:t>L</m:t>
            </m:r>
          </m:sub>
        </m:sSub>
        <m:r>
          <m:rPr>
            <m:sty m:val="p"/>
          </m:rPr>
          <m:t>&gt;</m:t>
        </m:r>
        <m:r>
          <m:t>0</m:t>
        </m:r>
      </m:oMath>
      <w:r>
        <w:t xml:space="preserve">: falta información; hay infinitas soluciones compatibles.</w:t>
      </w:r>
    </w:p>
    <w:p>
      <w:pPr>
        <w:pStyle w:val="Compact"/>
        <w:numPr>
          <w:ilvl w:val="0"/>
          <w:numId w:val="1003"/>
        </w:numPr>
      </w:pPr>
      <m:oMath>
        <m:sSub>
          <m:e>
            <m:r>
              <m:t>N</m:t>
            </m:r>
          </m:e>
          <m:sub>
            <m:r>
              <m:rPr>
                <m:sty m:val="p"/>
              </m:rPr>
              <m:t>G</m:t>
            </m:r>
            <m:r>
              <m:rPr>
                <m:sty m:val="p"/>
              </m:rPr>
              <m:t>D</m:t>
            </m:r>
            <m:r>
              <m:rPr>
                <m:sty m:val="p"/>
              </m:rPr>
              <m:t>L</m:t>
            </m:r>
          </m:sub>
        </m:sSub>
        <m:r>
          <m:rPr>
            <m:sty m:val="p"/>
          </m:rPr>
          <m:t>&lt;</m:t>
        </m:r>
        <m:r>
          <m:t>0</m:t>
        </m:r>
      </m:oMath>
      <w:r>
        <w:t xml:space="preserve">: existe redundancia. Esto puede ser valioso para validación y reconciliación, pero mediciones imperfectas harán que las ecuaciones no coincidan exactamente.</w:t>
      </w:r>
    </w:p>
    <w:p>
      <w:pPr>
        <w:pStyle w:val="FirstParagraph"/>
      </w:pPr>
      <w:r>
        <w:t xml:space="preserve">Contar ecuaciones no basta. Dos balances pueden ser algebraicamente dependientes. En un sistema binario, el balance total y los balances de ambos componentes no constituyen siempre tres ecuaciones independientes, porque la suma de los dos balances de componente reproduce el balance total.</w:t>
      </w:r>
    </w:p>
    <w:tbl>
      <w:tblPr>
        <w:tblStyle w:val="Table"/>
        <w:tblW w:type="pct" w:w="5000"/>
        <w:tblLayout w:type="fixed"/>
        <w:tblLook w:firstRow="1" w:lastRow="0" w:firstColumn="0" w:lastColumn="0" w:noHBand="0" w:noVBand="0" w:val="0020"/>
      </w:tblPr>
      <w:tblGrid>
        <w:gridCol w:w="1320"/>
        <w:gridCol w:w="1760"/>
        <w:gridCol w:w="1760"/>
        <w:gridCol w:w="1760"/>
        <w:gridCol w:w="1320"/>
      </w:tblGrid>
      <w:tr>
        <w:trPr>
          <w:tblHeader w:val="on"/>
        </w:trPr>
        <w:tc>
          <w:tcPr/>
          <w:p>
            <w:pPr>
              <w:pStyle w:val="Compact"/>
            </w:pPr>
            <w:r>
              <w:t xml:space="preserve">Situación</w:t>
            </w:r>
          </w:p>
        </w:tc>
        <w:tc>
          <w:tcPr/>
          <w:p>
            <w:pPr>
              <w:pStyle w:val="Compact"/>
              <w:jc w:val="right"/>
            </w:pPr>
            <w:r>
              <w:t xml:space="preserve">Incógnitas</w:t>
            </w:r>
          </w:p>
        </w:tc>
        <w:tc>
          <w:tcPr/>
          <w:p>
            <w:pPr>
              <w:pStyle w:val="Compact"/>
              <w:jc w:val="right"/>
            </w:pPr>
            <w:r>
              <w:t xml:space="preserve">Relaciones independientes</w:t>
            </w:r>
          </w:p>
        </w:tc>
        <w:tc>
          <w:tcPr/>
          <w:p>
            <w:pPr>
              <w:pStyle w:val="Compact"/>
              <w:jc w:val="right"/>
            </w:pPr>
            <w:r>
              <w:t xml:space="preserve">GDL</w:t>
            </w:r>
          </w:p>
        </w:tc>
        <w:tc>
          <w:tcPr/>
          <w:p>
            <w:pPr>
              <w:pStyle w:val="Compact"/>
            </w:pPr>
            <w:r>
              <w:t xml:space="preserve">Interpretación</w:t>
            </w:r>
          </w:p>
        </w:tc>
      </w:tr>
      <w:tr>
        <w:tc>
          <w:tcPr/>
          <w:p>
            <w:pPr>
              <w:pStyle w:val="Compact"/>
            </w:pPr>
            <w:r>
              <w:t xml:space="preserve">Separador con composiciones conocidas</w:t>
            </w:r>
          </w:p>
        </w:tc>
        <w:tc>
          <w:tcPr/>
          <w:p>
            <w:pPr>
              <w:pStyle w:val="Compact"/>
              <w:jc w:val="right"/>
            </w:pPr>
            <m:oMath>
              <m:r>
                <m:t>P</m:t>
              </m:r>
              <m:r>
                <m:rPr>
                  <m:sty m:val="p"/>
                </m:rPr>
                <m:t>,</m:t>
              </m:r>
              <m:r>
                <m:t>L</m:t>
              </m:r>
            </m:oMath>
            <w:r>
              <w:t xml:space="preserve">​</w:t>
            </w:r>
          </w:p>
        </w:tc>
        <w:tc>
          <w:tcPr/>
          <w:p>
            <w:pPr>
              <w:pStyle w:val="Compact"/>
              <w:jc w:val="right"/>
            </w:pPr>
            <w:r>
              <w:t xml:space="preserve">balance total + sólidos</w:t>
            </w:r>
          </w:p>
        </w:tc>
        <w:tc>
          <w:tcPr/>
          <w:p>
            <w:pPr>
              <w:pStyle w:val="Compact"/>
              <w:jc w:val="right"/>
            </w:pPr>
            <w:r>
              <w:t xml:space="preserve">0</w:t>
            </w:r>
          </w:p>
        </w:tc>
        <w:tc>
          <w:tcPr/>
          <w:p>
            <w:pPr>
              <w:pStyle w:val="Compact"/>
            </w:pPr>
            <w:r>
              <w:t xml:space="preserve">resoluble</w:t>
            </w:r>
          </w:p>
        </w:tc>
      </w:tr>
      <w:tr>
        <w:tc>
          <w:tcPr/>
          <w:p>
            <w:pPr>
              <w:pStyle w:val="Compact"/>
            </w:pPr>
            <w:r>
              <w:t xml:space="preserve">Separador sin composición del producto</w:t>
            </w:r>
          </w:p>
        </w:tc>
        <w:tc>
          <w:tcPr/>
          <w:p>
            <w:pPr>
              <w:pStyle w:val="Compact"/>
              <w:jc w:val="right"/>
            </w:pPr>
            <m:oMath>
              <m:r>
                <m:t>P</m:t>
              </m:r>
              <m:r>
                <m:rPr>
                  <m:sty m:val="p"/>
                </m:rPr>
                <m:t>,</m:t>
              </m:r>
              <m:r>
                <m:t>L</m:t>
              </m:r>
              <m:r>
                <m:rPr>
                  <m:sty m:val="p"/>
                </m:rPr>
                <m:t>,</m:t>
              </m:r>
              <m:sSub>
                <m:e>
                  <m:r>
                    <m:t>x</m:t>
                  </m:r>
                </m:e>
                <m:sub>
                  <m:r>
                    <m:t>P</m:t>
                  </m:r>
                </m:sub>
              </m:sSub>
            </m:oMath>
            <w:r>
              <w:t xml:space="preserve">​</w:t>
            </w:r>
          </w:p>
        </w:tc>
        <w:tc>
          <w:tcPr/>
          <w:p>
            <w:pPr>
              <w:pStyle w:val="Compact"/>
              <w:jc w:val="right"/>
            </w:pPr>
            <w:r>
              <w:t xml:space="preserve">dos balances</w:t>
            </w:r>
          </w:p>
        </w:tc>
        <w:tc>
          <w:tcPr/>
          <w:p>
            <w:pPr>
              <w:pStyle w:val="Compact"/>
              <w:jc w:val="right"/>
            </w:pPr>
            <w:r>
              <w:t xml:space="preserve">1</w:t>
            </w:r>
          </w:p>
        </w:tc>
        <w:tc>
          <w:tcPr/>
          <w:p>
            <w:pPr>
              <w:pStyle w:val="Compact"/>
            </w:pPr>
            <w:r>
              <w:t xml:space="preserve">falta una especificación</w:t>
            </w:r>
          </w:p>
        </w:tc>
      </w:tr>
      <w:tr>
        <w:tc>
          <w:tcPr/>
          <w:p>
            <w:pPr>
              <w:pStyle w:val="Compact"/>
            </w:pPr>
            <w:r>
              <w:t xml:space="preserve">Tres caudales medidos y un balance</w:t>
            </w:r>
          </w:p>
        </w:tc>
        <w:tc>
          <w:tcPr/>
          <w:p>
            <w:pPr>
              <w:pStyle w:val="Compact"/>
              <w:jc w:val="right"/>
            </w:pPr>
            <w:r>
              <w:t xml:space="preserve">0 incógnitas clásicas, 3 mediciones</w:t>
            </w:r>
          </w:p>
        </w:tc>
        <w:tc>
          <w:tcPr/>
          <w:p>
            <w:pPr>
              <w:pStyle w:val="Compact"/>
              <w:jc w:val="right"/>
            </w:pPr>
            <w:r>
              <w:t xml:space="preserve">una restricción</w:t>
            </w:r>
          </w:p>
        </w:tc>
        <w:tc>
          <w:tcPr/>
          <w:p>
            <w:pPr>
              <w:pStyle w:val="Compact"/>
              <w:jc w:val="right"/>
            </w:pPr>
            <w:r>
              <w:t xml:space="preserve">redundante</w:t>
            </w:r>
          </w:p>
        </w:tc>
        <w:tc>
          <w:tcPr/>
          <w:p>
            <w:pPr>
              <w:pStyle w:val="Compact"/>
            </w:pPr>
            <w:r>
              <w:t xml:space="preserve">permite evaluar cierre</w:t>
            </w:r>
          </w:p>
        </w:tc>
      </w:tr>
    </w:tbl>
    <w:bookmarkEnd w:id="32"/>
    <w:bookmarkStart w:id="42" w:name="caso-trabajado-i-separación-de-sólidos"/>
    <w:p>
      <w:pPr>
        <w:pStyle w:val="Heading1"/>
      </w:pPr>
      <w:r>
        <w:t xml:space="preserve">Caso trabajado I: separación de sólidos</w:t>
      </w:r>
    </w:p>
    <w:bookmarkStart w:id="40" w:name="definición-y-solución"/>
    <w:p>
      <w:pPr>
        <w:pStyle w:val="Heading2"/>
      </w:pPr>
      <w:r>
        <w:t xml:space="preserve">Definición y solución</w:t>
      </w:r>
    </w:p>
    <w:p>
      <w:pPr>
        <w:pStyle w:val="FirstParagraph"/>
      </w:pPr>
      <w:r>
        <w:t xml:space="preserve">Considérese un separador pedagógico, no reactivo y en estado estacionario. La alimentación es</w:t>
      </w:r>
      <w:r>
        <w:t xml:space="preserve"> </w:t>
      </w:r>
      <m:oMath>
        <m:r>
          <m:t>F</m:t>
        </m:r>
        <m:r>
          <m:rPr>
            <m:sty m:val="p"/>
          </m:rPr>
          <m:t>=</m:t>
        </m:r>
        <m:r>
          <m:t>1000</m:t>
        </m:r>
        <m:r>
          <m:t> </m:t>
        </m:r>
        <m:r>
          <m:rPr>
            <m:sty m:val="p"/>
          </m:rPr>
          <m:t>k</m:t>
        </m:r>
        <m:r>
          <m:rPr>
            <m:sty m:val="p"/>
          </m:rPr>
          <m:t>g</m:t>
        </m:r>
        <m:r>
          <m:rPr>
            <m:sty m:val="p"/>
          </m:rPr>
          <m:t>/</m:t>
        </m:r>
        <m:r>
          <m:rPr>
            <m:sty m:val="p"/>
          </m:rPr>
          <m:t>h</m:t>
        </m:r>
      </m:oMath>
      <w:r>
        <w:t xml:space="preserve"> </w:t>
      </w:r>
      <w:r>
        <w:t xml:space="preserve">con fracción másica de sólidos</w:t>
      </w:r>
      <w:r>
        <w:t xml:space="preserve"> </w:t>
      </w:r>
      <m:oMath>
        <m:sSub>
          <m:e>
            <m:r>
              <m:t>x</m:t>
            </m:r>
          </m:e>
          <m:sub>
            <m:r>
              <m:t>F</m:t>
            </m:r>
          </m:sub>
        </m:sSub>
        <m:r>
          <m:rPr>
            <m:sty m:val="p"/>
          </m:rPr>
          <m:t>=</m:t>
        </m:r>
        <m:r>
          <m:t>0.12</m:t>
        </m:r>
      </m:oMath>
      <w:r>
        <w:t xml:space="preserve">. Se obtienen un producto concentrado con</w:t>
      </w:r>
      <w:r>
        <w:t xml:space="preserve"> </w:t>
      </w:r>
      <m:oMath>
        <m:sSub>
          <m:e>
            <m:r>
              <m:t>x</m:t>
            </m:r>
          </m:e>
          <m:sub>
            <m:r>
              <m:t>P</m:t>
            </m:r>
          </m:sub>
        </m:sSub>
        <m:r>
          <m:rPr>
            <m:sty m:val="p"/>
          </m:rPr>
          <m:t>=</m:t>
        </m:r>
        <m:r>
          <m:t>0.30</m:t>
        </m:r>
      </m:oMath>
      <w:r>
        <w:t xml:space="preserve"> </w:t>
      </w:r>
      <w:r>
        <w:t xml:space="preserve">y una corriente líquida con</w:t>
      </w:r>
      <w:r>
        <w:t xml:space="preserve"> </w:t>
      </w:r>
      <m:oMath>
        <m:sSub>
          <m:e>
            <m:r>
              <m:t>x</m:t>
            </m:r>
          </m:e>
          <m:sub>
            <m:r>
              <m:t>L</m:t>
            </m:r>
          </m:sub>
        </m:sSub>
        <m:r>
          <m:rPr>
            <m:sty m:val="p"/>
          </m:rPr>
          <m:t>=</m:t>
        </m:r>
        <m:r>
          <m:t>0.02</m:t>
        </m:r>
      </m:oMath>
      <w:r>
        <w:t xml:space="preserve">.</w:t>
      </w:r>
    </w:p>
    <w:tbl>
      <w:tblPr>
        <w:tblStyle w:val="Table"/>
        <w:tblW w:type="pct" w:w="5000"/>
        <w:tblLayout w:type="fixed"/>
        <w:tblLook w:firstRow="0" w:lastRow="0" w:firstColumn="0" w:lastColumn="0" w:noHBand="0" w:noVBand="0" w:val="0000"/>
      </w:tblPr>
      <w:tblGrid>
        <w:gridCol w:w="7920"/>
      </w:tblGrid>
      <w:tr>
        <w:tc>
          <w:tcPr/>
          <w:bookmarkStart w:id="36" w:name="fig-separator"/>
          <w:p>
            <w:pPr>
              <w:pStyle w:val="Compact"/>
              <w:jc w:val="center"/>
            </w:pPr>
            <w:r>
              <w:drawing>
                <wp:inline>
                  <wp:extent cx="5067300" cy="2750281"/>
                  <wp:effectExtent b="0" l="0" r="0" t="0"/>
                  <wp:docPr descr="" title="" id="34" name="Picture"/>
                  <a:graphic>
                    <a:graphicData uri="http://schemas.openxmlformats.org/drawingml/2006/picture">
                      <pic:pic>
                        <pic:nvPicPr>
                          <pic:cNvPr descr="../../../assets/NS-SBTP-PSF-001-v2.0/fig02_separator_case.png" id="35" name="Picture"/>
                          <pic:cNvPicPr>
                            <a:picLocks noChangeArrowheads="1" noChangeAspect="1"/>
                          </pic:cNvPicPr>
                        </pic:nvPicPr>
                        <pic:blipFill>
                          <a:blip r:embed="rId33"/>
                          <a:stretch>
                            <a:fillRect/>
                          </a:stretch>
                        </pic:blipFill>
                        <pic:spPr bwMode="auto">
                          <a:xfrm>
                            <a:off x="0" y="0"/>
                            <a:ext cx="5067300" cy="2750281"/>
                          </a:xfrm>
                          <a:prstGeom prst="rect">
                            <a:avLst/>
                          </a:prstGeom>
                          <a:noFill/>
                          <a:ln w="9525">
                            <a:noFill/>
                            <a:headEnd/>
                            <a:tailEnd/>
                          </a:ln>
                        </pic:spPr>
                      </pic:pic>
                    </a:graphicData>
                  </a:graphic>
                </wp:inline>
              </w:drawing>
            </w:r>
          </w:p>
          <w:p>
            <w:pPr>
              <w:jc w:val="center"/>
            </w:pPr>
            <w:pPr>
              <w:jc w:val="left"/>
              <w:spacing w:before="200"/>
              <w:pStyle w:val="ImageCaption"/>
            </w:pPr>
            <w:r>
              <w:t xml:space="preserve">Figura 2: Caso base de separación. Las cifras provienen de balances determinísticos y no representan datos de planta.</w:t>
            </w:r>
          </w:p>
          <w:bookmarkEnd w:id="36"/>
        </w:tc>
      </w:tr>
    </w:tbl>
    <w:p>
      <w:pPr>
        <w:pStyle w:val="BodyText"/>
      </w:pPr>
      <w:r>
        <w:t xml:space="preserve">Los balances independientes son:</w:t>
      </w:r>
    </w:p>
    <w:p>
      <w:pPr>
        <w:pStyle w:val="BodyText"/>
      </w:pPr>
      <w:bookmarkStart w:id="37" w:name="eq-separator-total"/>
      <m:oMathPara>
        <m:oMathParaPr>
          <m:jc m:val="center"/>
        </m:oMathParaPr>
        <m:oMath>
          <m:r>
            <m:t>F</m:t>
          </m:r>
          <m:r>
            <m:rPr>
              <m:sty m:val="p"/>
            </m:rPr>
            <m:t>=</m:t>
          </m:r>
          <m:r>
            <m:t>P</m:t>
          </m:r>
          <m:r>
            <m:rPr>
              <m:sty m:val="p"/>
            </m:rPr>
            <m:t>+</m:t>
          </m:r>
          <m:r>
            <m:t>L</m:t>
          </m:r>
          <m:r>
            <m:rPr>
              <m:sty m:val="p"/>
            </m:rPr>
            <m:t>,</m:t>
          </m:r>
          <m:r>
            <m:t>  </m:t>
          </m:r>
          <m:r>
            <m:rPr>
              <m:sty m:val="p"/>
            </m:rPr>
            <m:t>(</m:t>
          </m:r>
          <m:r>
            <m:t>8</m:t>
          </m:r>
          <m:r>
            <m:rPr>
              <m:sty m:val="p"/>
            </m:rPr>
            <m:t>)</m:t>
          </m:r>
        </m:oMath>
      </m:oMathPara>
      <w:bookmarkEnd w:id="37"/>
    </w:p>
    <w:p>
      <w:pPr>
        <w:pStyle w:val="FirstParagraph"/>
      </w:pPr>
      <w:bookmarkStart w:id="38" w:name="eq-separator-solids"/>
      <m:oMathPara>
        <m:oMathParaPr>
          <m:jc m:val="center"/>
        </m:oMathParaPr>
        <m:oMath>
          <m:r>
            <m:t>F</m:t>
          </m:r>
          <m:sSub>
            <m:e>
              <m:r>
                <m:t>x</m:t>
              </m:r>
            </m:e>
            <m:sub>
              <m:r>
                <m:t>F</m:t>
              </m:r>
            </m:sub>
          </m:sSub>
          <m:r>
            <m:rPr>
              <m:sty m:val="p"/>
            </m:rPr>
            <m:t>=</m:t>
          </m:r>
          <m:r>
            <m:t>P</m:t>
          </m:r>
          <m:sSub>
            <m:e>
              <m:r>
                <m:t>x</m:t>
              </m:r>
            </m:e>
            <m:sub>
              <m:r>
                <m:t>P</m:t>
              </m:r>
            </m:sub>
          </m:sSub>
          <m:r>
            <m:rPr>
              <m:sty m:val="p"/>
            </m:rPr>
            <m:t>+</m:t>
          </m:r>
          <m:r>
            <m:t>L</m:t>
          </m:r>
          <m:sSub>
            <m:e>
              <m:r>
                <m:t>x</m:t>
              </m:r>
            </m:e>
            <m:sub>
              <m:r>
                <m:t>L</m:t>
              </m:r>
            </m:sub>
          </m:sSub>
          <m:r>
            <m:rPr>
              <m:sty m:val="p"/>
            </m:rPr>
            <m:t>.</m:t>
          </m:r>
          <m:r>
            <m:t>  </m:t>
          </m:r>
          <m:r>
            <m:rPr>
              <m:sty m:val="p"/>
            </m:rPr>
            <m:t>(</m:t>
          </m:r>
          <m:r>
            <m:t>9</m:t>
          </m:r>
          <m:r>
            <m:rPr>
              <m:sty m:val="p"/>
            </m:rPr>
            <m:t>)</m:t>
          </m:r>
        </m:oMath>
      </m:oMathPara>
      <w:bookmarkEnd w:id="38"/>
    </w:p>
    <w:p>
      <w:pPr>
        <w:pStyle w:val="FirstParagraph"/>
      </w:pPr>
      <w:r>
        <w:t xml:space="preserve">Al sustituir</w:t>
      </w:r>
      <w:r>
        <w:t xml:space="preserve"> </w:t>
      </w:r>
      <m:oMath>
        <m:r>
          <m:t>L</m:t>
        </m:r>
        <m:r>
          <m:rPr>
            <m:sty m:val="p"/>
          </m:rPr>
          <m:t>=</m:t>
        </m:r>
        <m:r>
          <m:t>F</m:t>
        </m:r>
        <m:r>
          <m:rPr>
            <m:sty m:val="p"/>
          </m:rPr>
          <m:t>−</m:t>
        </m:r>
        <m:r>
          <m:t>P</m:t>
        </m:r>
      </m:oMath>
      <w:r>
        <w:t xml:space="preserve"> </w:t>
      </w:r>
      <w:r>
        <w:t xml:space="preserve">en la</w:t>
      </w:r>
      <w:r>
        <w:t xml:space="preserve"> </w:t>
      </w:r>
      <w:hyperlink w:anchor="eq-separator-solids">
        <w:r>
          <w:rPr>
            <w:rStyle w:val="Hyperlink"/>
          </w:rPr>
          <w:t xml:space="preserve">Ecuación 9</w:t>
        </w:r>
      </w:hyperlink>
      <w:r>
        <w:t xml:space="preserve">:</w:t>
      </w:r>
    </w:p>
    <w:p>
      <w:pPr>
        <w:pStyle w:val="BodyText"/>
      </w:pPr>
      <w:bookmarkStart w:id="39" w:name="eq-separator-solution"/>
      <m:oMathPara>
        <m:oMathParaPr>
          <m:jc m:val="center"/>
        </m:oMathParaPr>
        <m:oMath>
          <m:r>
            <m:t>P</m:t>
          </m:r>
          <m:r>
            <m:rPr>
              <m:sty m:val="p"/>
            </m:rPr>
            <m:t>=</m:t>
          </m:r>
          <m:r>
            <m:t>F</m:t>
          </m:r>
          <m:f>
            <m:fPr>
              <m:type m:val="bar"/>
            </m:fPr>
            <m:num>
              <m:sSub>
                <m:e>
                  <m:r>
                    <m:t>x</m:t>
                  </m:r>
                </m:e>
                <m:sub>
                  <m:r>
                    <m:t>F</m:t>
                  </m:r>
                </m:sub>
              </m:sSub>
              <m:r>
                <m:rPr>
                  <m:sty m:val="p"/>
                </m:rPr>
                <m:t>−</m:t>
              </m:r>
              <m:sSub>
                <m:e>
                  <m:r>
                    <m:t>x</m:t>
                  </m:r>
                </m:e>
                <m:sub>
                  <m:r>
                    <m:t>L</m:t>
                  </m:r>
                </m:sub>
              </m:sSub>
            </m:num>
            <m:den>
              <m:sSub>
                <m:e>
                  <m:r>
                    <m:t>x</m:t>
                  </m:r>
                </m:e>
                <m:sub>
                  <m:r>
                    <m:t>P</m:t>
                  </m:r>
                </m:sub>
              </m:sSub>
              <m:r>
                <m:rPr>
                  <m:sty m:val="p"/>
                </m:rPr>
                <m:t>−</m:t>
              </m:r>
              <m:sSub>
                <m:e>
                  <m:r>
                    <m:t>x</m:t>
                  </m:r>
                </m:e>
                <m:sub>
                  <m:r>
                    <m:t>L</m:t>
                  </m:r>
                </m:sub>
              </m:sSub>
            </m:den>
          </m:f>
          <m:r>
            <m:rPr>
              <m:sty m:val="p"/>
            </m:rPr>
            <m:t>,</m:t>
          </m:r>
          <m:r>
            <m:t>  </m:t>
          </m:r>
          <m:r>
            <m:t>L</m:t>
          </m:r>
          <m:r>
            <m:rPr>
              <m:sty m:val="p"/>
            </m:rPr>
            <m:t>=</m:t>
          </m:r>
          <m:r>
            <m:t>F</m:t>
          </m:r>
          <m:r>
            <m:rPr>
              <m:sty m:val="p"/>
            </m:rPr>
            <m:t>−</m:t>
          </m:r>
          <m:r>
            <m:t>P</m:t>
          </m:r>
          <m:r>
            <m:rPr>
              <m:sty m:val="p"/>
            </m:rPr>
            <m:t>.</m:t>
          </m:r>
          <m:r>
            <m:t>  </m:t>
          </m:r>
          <m:r>
            <m:rPr>
              <m:sty m:val="p"/>
            </m:rPr>
            <m:t>(</m:t>
          </m:r>
          <m:r>
            <m:t>10</m:t>
          </m:r>
          <m:r>
            <m:rPr>
              <m:sty m:val="p"/>
            </m:rPr>
            <m:t>)</m:t>
          </m:r>
        </m:oMath>
      </m:oMathPara>
      <w:bookmarkEnd w:id="39"/>
    </w:p>
    <w:p>
      <w:pPr>
        <w:pStyle w:val="FirstParagraph"/>
      </w:pPr>
      <w:r>
        <w:t xml:space="preserve">Con los valores del caso:</w:t>
      </w:r>
    </w:p>
    <w:p>
      <w:pPr>
        <w:pStyle w:val="BodyText"/>
      </w:pPr>
      <m:oMathPara>
        <m:oMathParaPr>
          <m:jc m:val="center"/>
        </m:oMathParaPr>
        <m:oMath>
          <m:r>
            <m:t>P</m:t>
          </m:r>
          <m:r>
            <m:rPr>
              <m:sty m:val="p"/>
            </m:rPr>
            <m:t>=</m:t>
          </m:r>
          <m:r>
            <m:t>1000</m:t>
          </m:r>
          <m:f>
            <m:fPr>
              <m:type m:val="bar"/>
            </m:fPr>
            <m:num>
              <m:r>
                <m:t>0.12</m:t>
              </m:r>
              <m:r>
                <m:rPr>
                  <m:sty m:val="p"/>
                </m:rPr>
                <m:t>−</m:t>
              </m:r>
              <m:r>
                <m:t>0.02</m:t>
              </m:r>
            </m:num>
            <m:den>
              <m:r>
                <m:t>0.30</m:t>
              </m:r>
              <m:r>
                <m:rPr>
                  <m:sty m:val="p"/>
                </m:rPr>
                <m:t>−</m:t>
              </m:r>
              <m:r>
                <m:t>0.02</m:t>
              </m:r>
            </m:den>
          </m:f>
          <m:r>
            <m:rPr>
              <m:sty m:val="p"/>
            </m:rPr>
            <m:t>=</m:t>
          </m:r>
          <m:r>
            <m:t>357.1429</m:t>
          </m:r>
          <m:r>
            <m:t> </m:t>
          </m:r>
          <m:r>
            <m:rPr>
              <m:sty m:val="p"/>
            </m:rPr>
            <m:t>k</m:t>
          </m:r>
          <m:r>
            <m:rPr>
              <m:sty m:val="p"/>
            </m:rPr>
            <m:t>g</m:t>
          </m:r>
          <m:r>
            <m:rPr>
              <m:sty m:val="p"/>
            </m:rPr>
            <m:t>/</m:t>
          </m:r>
          <m:r>
            <m:rPr>
              <m:sty m:val="p"/>
            </m:rPr>
            <m:t>h</m:t>
          </m:r>
          <m:r>
            <m:rPr>
              <m:sty m:val="p"/>
            </m:rPr>
            <m:t>,</m:t>
          </m:r>
        </m:oMath>
      </m:oMathPara>
    </w:p>
    <w:p>
      <w:pPr>
        <w:pStyle w:val="FirstParagraph"/>
      </w:pPr>
      <m:oMathPara>
        <m:oMathParaPr>
          <m:jc m:val="center"/>
        </m:oMathParaPr>
        <m:oMath>
          <m:r>
            <m:t>L</m:t>
          </m:r>
          <m:r>
            <m:rPr>
              <m:sty m:val="p"/>
            </m:rPr>
            <m:t>=</m:t>
          </m:r>
          <m:r>
            <m:t>1000</m:t>
          </m:r>
          <m:r>
            <m:rPr>
              <m:sty m:val="p"/>
            </m:rPr>
            <m:t>−</m:t>
          </m:r>
          <m:r>
            <m:t>357.1429</m:t>
          </m:r>
          <m:r>
            <m:rPr>
              <m:sty m:val="p"/>
            </m:rPr>
            <m:t>=</m:t>
          </m:r>
          <m:r>
            <m:t>642.8571</m:t>
          </m:r>
          <m:r>
            <m:t> </m:t>
          </m:r>
          <m:r>
            <m:rPr>
              <m:sty m:val="p"/>
            </m:rPr>
            <m:t>k</m:t>
          </m:r>
          <m:r>
            <m:rPr>
              <m:sty m:val="p"/>
            </m:rPr>
            <m:t>g</m:t>
          </m:r>
          <m:r>
            <m:rPr>
              <m:sty m:val="p"/>
            </m:rPr>
            <m:t>/</m:t>
          </m:r>
          <m:r>
            <m:rPr>
              <m:sty m:val="p"/>
            </m:rPr>
            <m:t>h</m:t>
          </m:r>
          <m:r>
            <m:rPr>
              <m:sty m:val="p"/>
            </m:rPr>
            <m:t>.</m:t>
          </m:r>
        </m:oMath>
      </m:oMathPara>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Verificación</w:t>
            </w:r>
          </w:p>
        </w:tc>
        <w:tc>
          <w:tcPr/>
          <w:p>
            <w:pPr>
              <w:pStyle w:val="Compact"/>
              <w:jc w:val="right"/>
            </w:pPr>
            <w:r>
              <w:t xml:space="preserve">Entrada (kg/h)</w:t>
            </w:r>
          </w:p>
        </w:tc>
        <w:tc>
          <w:tcPr/>
          <w:p>
            <w:pPr>
              <w:pStyle w:val="Compact"/>
              <w:jc w:val="right"/>
            </w:pPr>
            <w:r>
              <w:t xml:space="preserve">Salidas (kg/h)</w:t>
            </w:r>
          </w:p>
        </w:tc>
        <w:tc>
          <w:tcPr/>
          <w:p>
            <w:pPr>
              <w:pStyle w:val="Compact"/>
              <w:jc w:val="right"/>
            </w:pPr>
            <w:r>
              <w:t xml:space="preserve">Residual (kg/h)</w:t>
            </w:r>
          </w:p>
        </w:tc>
      </w:tr>
      <w:tr>
        <w:tc>
          <w:tcPr/>
          <w:p>
            <w:pPr>
              <w:pStyle w:val="Compact"/>
            </w:pPr>
            <w:r>
              <w:t xml:space="preserve">Masa total</w:t>
            </w:r>
          </w:p>
        </w:tc>
        <w:tc>
          <w:tcPr/>
          <w:p>
            <w:pPr>
              <w:pStyle w:val="Compact"/>
              <w:jc w:val="right"/>
            </w:pPr>
            <w:r>
              <w:t xml:space="preserve">1000.0000</w:t>
            </w:r>
          </w:p>
        </w:tc>
        <w:tc>
          <w:tcPr/>
          <w:p>
            <w:pPr>
              <w:pStyle w:val="Compact"/>
              <w:jc w:val="right"/>
            </w:pPr>
            <w:r>
              <w:t xml:space="preserve">357.1429 + 642.8571</w:t>
            </w:r>
          </w:p>
        </w:tc>
        <w:tc>
          <w:tcPr/>
          <w:p>
            <w:pPr>
              <w:pStyle w:val="Compact"/>
              <w:jc w:val="right"/>
            </w:pPr>
            <w:r>
              <w:t xml:space="preserve">0.0000</w:t>
            </w:r>
          </w:p>
        </w:tc>
      </w:tr>
      <w:tr>
        <w:tc>
          <w:tcPr/>
          <w:p>
            <w:pPr>
              <w:pStyle w:val="Compact"/>
            </w:pPr>
            <w:r>
              <w:t xml:space="preserve">Sólidos</w:t>
            </w:r>
          </w:p>
        </w:tc>
        <w:tc>
          <w:tcPr/>
          <w:p>
            <w:pPr>
              <w:pStyle w:val="Compact"/>
              <w:jc w:val="right"/>
            </w:pPr>
            <w:r>
              <w:t xml:space="preserve">120.0000</w:t>
            </w:r>
          </w:p>
        </w:tc>
        <w:tc>
          <w:tcPr/>
          <w:p>
            <w:pPr>
              <w:pStyle w:val="Compact"/>
              <w:jc w:val="right"/>
            </w:pPr>
            <w:r>
              <w:t xml:space="preserve">107.1429 + 12.8571</w:t>
            </w:r>
          </w:p>
        </w:tc>
        <w:tc>
          <w:tcPr/>
          <w:p>
            <w:pPr>
              <w:pStyle w:val="Compact"/>
              <w:jc w:val="right"/>
            </w:pPr>
            <w:r>
              <w:t xml:space="preserve">0.0000</w:t>
            </w:r>
          </w:p>
        </w:tc>
      </w:tr>
    </w:tbl>
    <w:p>
      <w:pPr>
        <w:pStyle w:val="BodyText"/>
      </w:pPr>
      <w:r>
        <w:t xml:space="preserve">La segunda fila es tan importante como la primera. Un conjunto de caudales puede cerrar en masa total y fallar en sólidos si las composiciones son erróneas, si existe sedimentación no incluida en el inventario o si las muestras no representan el mismo periodo.</w:t>
      </w:r>
    </w:p>
    <w:bookmarkEnd w:id="40"/>
    <w:bookmarkStart w:id="41" w:name="condiciones-de-validez"/>
    <w:p>
      <w:pPr>
        <w:pStyle w:val="Heading2"/>
      </w:pPr>
      <w:r>
        <w:t xml:space="preserve">Condiciones de validez</w:t>
      </w:r>
    </w:p>
    <w:p>
      <w:pPr>
        <w:pStyle w:val="FirstParagraph"/>
      </w:pPr>
      <w:r>
        <w:t xml:space="preserve">La solución supone estado estacionario, dos únicas salidas, ausencia de reacción, composiciones representativas y una misma base temporal. Si existe acumulación dentro del separador, el balance correcto incluye el cambio de inventario. Si una parte de los sólidos queda retenida, esa retención no es “pérdida” mientras permanezca dentro de la frontera: es acumulación. Se convierte en salida cuando se descarga o en pérdida cuando cruza una frontera no medida.</w:t>
      </w:r>
    </w:p>
    <w:p>
      <w:pPr>
        <w:pStyle w:val="BodyText"/>
      </w:pPr>
      <w:r>
        <w:t xml:space="preserve">La</w:t>
      </w:r>
      <w:r>
        <w:t xml:space="preserve"> </w:t>
      </w:r>
      <w:hyperlink w:anchor="eq-separator-solution">
        <w:r>
          <w:rPr>
            <w:rStyle w:val="Hyperlink"/>
          </w:rPr>
          <w:t xml:space="preserve">Ecuación 10</w:t>
        </w:r>
      </w:hyperlink>
      <w:r>
        <w:t xml:space="preserve"> </w:t>
      </w:r>
      <w:r>
        <w:t xml:space="preserve">deja ver un caso límite: si</w:t>
      </w:r>
      <w:r>
        <w:t xml:space="preserve"> </w:t>
      </w:r>
      <m:oMath>
        <m:sSub>
          <m:e>
            <m:r>
              <m:t>x</m:t>
            </m:r>
          </m:e>
          <m:sub>
            <m:r>
              <m:t>P</m:t>
            </m:r>
          </m:sub>
        </m:sSub>
        <m:r>
          <m:rPr>
            <m:sty m:val="p"/>
          </m:rPr>
          <m:t>=</m:t>
        </m:r>
        <m:sSub>
          <m:e>
            <m:r>
              <m:t>x</m:t>
            </m:r>
          </m:e>
          <m:sub>
            <m:r>
              <m:t>L</m:t>
            </m:r>
          </m:sub>
        </m:sSub>
      </m:oMath>
      <w:r>
        <w:t xml:space="preserve">, el denominador es cero. Físicamente, dos productos con la misma composición no proporcionan separación y los balances no determinan cómo repartir el flujo total. Una singularidad matemática puede ser una advertencia física, no un defecto del álgebra.</w:t>
      </w:r>
    </w:p>
    <w:bookmarkEnd w:id="41"/>
    <w:bookmarkEnd w:id="42"/>
    <w:bookmarkStart w:id="48" w:name="X1aeb4158089efbf6c341936453f84fc0e61ac5f"/>
    <w:p>
      <w:pPr>
        <w:pStyle w:val="Heading1"/>
      </w:pPr>
      <w:r>
        <w:t xml:space="preserve">Sensibilidad: una respuesta no es un número inmutable</w:t>
      </w:r>
    </w:p>
    <w:p>
      <w:pPr>
        <w:pStyle w:val="FirstParagraph"/>
      </w:pPr>
      <w:r>
        <w:t xml:space="preserve">El caudal calculado</w:t>
      </w:r>
      <w:r>
        <w:t xml:space="preserve"> </w:t>
      </w:r>
      <m:oMath>
        <m:r>
          <m:t>P</m:t>
        </m:r>
      </m:oMath>
      <w:r>
        <w:t xml:space="preserve"> </w:t>
      </w:r>
      <w:r>
        <w:t xml:space="preserve">depende de tres composiciones. Sus derivadas locales son:</w:t>
      </w:r>
    </w:p>
    <w:p>
      <w:pPr>
        <w:pStyle w:val="BodyText"/>
      </w:pPr>
      <w:bookmarkStart w:id="43" w:name="eq-sensitivity"/>
      <m:oMathPara>
        <m:oMathParaPr>
          <m:jc m:val="center"/>
        </m:oMathParaPr>
        <m:oMath>
          <m:f>
            <m:fPr>
              <m:type m:val="bar"/>
            </m:fPr>
            <m:num>
              <m:r>
                <m:rPr>
                  <m:sty m:val="p"/>
                </m:rPr>
                <m:t>∂</m:t>
              </m:r>
              <m:r>
                <m:t>P</m:t>
              </m:r>
            </m:num>
            <m:den>
              <m:r>
                <m:rPr>
                  <m:sty m:val="p"/>
                </m:rPr>
                <m:t>∂</m:t>
              </m:r>
              <m:sSub>
                <m:e>
                  <m:r>
                    <m:t>x</m:t>
                  </m:r>
                </m:e>
                <m:sub>
                  <m:r>
                    <m:t>F</m:t>
                  </m:r>
                </m:sub>
              </m:sSub>
            </m:den>
          </m:f>
          <m:r>
            <m:rPr>
              <m:sty m:val="p"/>
            </m:rPr>
            <m:t>=</m:t>
          </m:r>
          <m:f>
            <m:fPr>
              <m:type m:val="bar"/>
            </m:fPr>
            <m:num>
              <m:r>
                <m:t>F</m:t>
              </m:r>
            </m:num>
            <m:den>
              <m:sSub>
                <m:e>
                  <m:r>
                    <m:t>x</m:t>
                  </m:r>
                </m:e>
                <m:sub>
                  <m:r>
                    <m:t>P</m:t>
                  </m:r>
                </m:sub>
              </m:sSub>
              <m:r>
                <m:rPr>
                  <m:sty m:val="p"/>
                </m:rPr>
                <m:t>−</m:t>
              </m:r>
              <m:sSub>
                <m:e>
                  <m:r>
                    <m:t>x</m:t>
                  </m:r>
                </m:e>
                <m:sub>
                  <m:r>
                    <m:t>L</m:t>
                  </m:r>
                </m:sub>
              </m:sSub>
            </m:den>
          </m:f>
          <m:r>
            <m:rPr>
              <m:sty m:val="p"/>
            </m:rPr>
            <m:t>,</m:t>
          </m:r>
          <m:r>
            <m:t> </m:t>
          </m:r>
          <m:f>
            <m:fPr>
              <m:type m:val="bar"/>
            </m:fPr>
            <m:num>
              <m:r>
                <m:rPr>
                  <m:sty m:val="p"/>
                </m:rPr>
                <m:t>∂</m:t>
              </m:r>
              <m:r>
                <m:t>P</m:t>
              </m:r>
            </m:num>
            <m:den>
              <m:r>
                <m:rPr>
                  <m:sty m:val="p"/>
                </m:rPr>
                <m:t>∂</m:t>
              </m:r>
              <m:sSub>
                <m:e>
                  <m:r>
                    <m:t>x</m:t>
                  </m:r>
                </m:e>
                <m:sub>
                  <m:r>
                    <m:t>P</m:t>
                  </m:r>
                </m:sub>
              </m:sSub>
            </m:den>
          </m:f>
          <m:r>
            <m:rPr>
              <m:sty m:val="p"/>
            </m:rPr>
            <m:t>=</m:t>
          </m:r>
          <m:r>
            <m:rPr>
              <m:sty m:val="p"/>
            </m:rPr>
            <m:t>−</m:t>
          </m:r>
          <m:f>
            <m:fPr>
              <m:type m:val="bar"/>
            </m:fPr>
            <m:num>
              <m:r>
                <m:t>F</m:t>
              </m:r>
              <m:r>
                <m:rPr>
                  <m:sty m:val="p"/>
                </m:rPr>
                <m:t>(</m:t>
              </m:r>
              <m:sSub>
                <m:e>
                  <m:r>
                    <m:t>x</m:t>
                  </m:r>
                </m:e>
                <m:sub>
                  <m:r>
                    <m:t>F</m:t>
                  </m:r>
                </m:sub>
              </m:sSub>
              <m:r>
                <m:rPr>
                  <m:sty m:val="p"/>
                </m:rPr>
                <m:t>−</m:t>
              </m:r>
              <m:sSub>
                <m:e>
                  <m:r>
                    <m:t>x</m:t>
                  </m:r>
                </m:e>
                <m:sub>
                  <m:r>
                    <m:t>L</m:t>
                  </m:r>
                </m:sub>
              </m:sSub>
              <m:r>
                <m:rPr>
                  <m:sty m:val="p"/>
                </m:rPr>
                <m:t>)</m:t>
              </m:r>
            </m:num>
            <m:den>
              <m:r>
                <m:rPr>
                  <m:sty m:val="p"/>
                </m:rPr>
                <m:t>(</m:t>
              </m:r>
              <m:sSub>
                <m:e>
                  <m:r>
                    <m:t>x</m:t>
                  </m:r>
                </m:e>
                <m:sub>
                  <m:r>
                    <m:t>P</m:t>
                  </m:r>
                </m:sub>
              </m:sSub>
              <m:r>
                <m:rPr>
                  <m:sty m:val="p"/>
                </m:rPr>
                <m:t>−</m:t>
              </m:r>
              <m:sSub>
                <m:e>
                  <m:r>
                    <m:t>x</m:t>
                  </m:r>
                </m:e>
                <m:sub>
                  <m:r>
                    <m:t>L</m:t>
                  </m:r>
                </m:sub>
              </m:sSub>
              <m:sSup>
                <m:e>
                  <m:r>
                    <m:rPr>
                      <m:sty m:val="p"/>
                    </m:rPr>
                    <m:t>)</m:t>
                  </m:r>
                </m:e>
                <m:sup>
                  <m:r>
                    <m:t>2</m:t>
                  </m:r>
                </m:sup>
              </m:sSup>
            </m:den>
          </m:f>
          <m:r>
            <m:rPr>
              <m:sty m:val="p"/>
            </m:rPr>
            <m:t>,</m:t>
          </m:r>
          <m:r>
            <m:t> </m:t>
          </m:r>
          <m:f>
            <m:fPr>
              <m:type m:val="bar"/>
            </m:fPr>
            <m:num>
              <m:r>
                <m:rPr>
                  <m:sty m:val="p"/>
                </m:rPr>
                <m:t>∂</m:t>
              </m:r>
              <m:r>
                <m:t>P</m:t>
              </m:r>
            </m:num>
            <m:den>
              <m:r>
                <m:rPr>
                  <m:sty m:val="p"/>
                </m:rPr>
                <m:t>∂</m:t>
              </m:r>
              <m:sSub>
                <m:e>
                  <m:r>
                    <m:t>x</m:t>
                  </m:r>
                </m:e>
                <m:sub>
                  <m:r>
                    <m:t>L</m:t>
                  </m:r>
                </m:sub>
              </m:sSub>
            </m:den>
          </m:f>
          <m:r>
            <m:rPr>
              <m:sty m:val="p"/>
            </m:rPr>
            <m:t>=</m:t>
          </m:r>
          <m:f>
            <m:fPr>
              <m:type m:val="bar"/>
            </m:fPr>
            <m:num>
              <m:r>
                <m:t>F</m:t>
              </m:r>
              <m:r>
                <m:rPr>
                  <m:sty m:val="p"/>
                </m:rPr>
                <m:t>(</m:t>
              </m:r>
              <m:sSub>
                <m:e>
                  <m:r>
                    <m:t>x</m:t>
                  </m:r>
                </m:e>
                <m:sub>
                  <m:r>
                    <m:t>F</m:t>
                  </m:r>
                </m:sub>
              </m:sSub>
              <m:r>
                <m:rPr>
                  <m:sty m:val="p"/>
                </m:rPr>
                <m:t>−</m:t>
              </m:r>
              <m:sSub>
                <m:e>
                  <m:r>
                    <m:t>x</m:t>
                  </m:r>
                </m:e>
                <m:sub>
                  <m:r>
                    <m:t>P</m:t>
                  </m:r>
                </m:sub>
              </m:sSub>
              <m:r>
                <m:rPr>
                  <m:sty m:val="p"/>
                </m:rPr>
                <m:t>)</m:t>
              </m:r>
            </m:num>
            <m:den>
              <m:r>
                <m:rPr>
                  <m:sty m:val="p"/>
                </m:rPr>
                <m:t>(</m:t>
              </m:r>
              <m:sSub>
                <m:e>
                  <m:r>
                    <m:t>x</m:t>
                  </m:r>
                </m:e>
                <m:sub>
                  <m:r>
                    <m:t>P</m:t>
                  </m:r>
                </m:sub>
              </m:sSub>
              <m:r>
                <m:rPr>
                  <m:sty m:val="p"/>
                </m:rPr>
                <m:t>−</m:t>
              </m:r>
              <m:sSub>
                <m:e>
                  <m:r>
                    <m:t>x</m:t>
                  </m:r>
                </m:e>
                <m:sub>
                  <m:r>
                    <m:t>L</m:t>
                  </m:r>
                </m:sub>
              </m:sSub>
              <m:sSup>
                <m:e>
                  <m:r>
                    <m:rPr>
                      <m:sty m:val="p"/>
                    </m:rPr>
                    <m:t>)</m:t>
                  </m:r>
                </m:e>
                <m:sup>
                  <m:r>
                    <m:t>2</m:t>
                  </m:r>
                </m:sup>
              </m:sSup>
            </m:den>
          </m:f>
          <m:r>
            <m:rPr>
              <m:sty m:val="p"/>
            </m:rPr>
            <m:t>.</m:t>
          </m:r>
          <m:r>
            <m:t>  </m:t>
          </m:r>
          <m:r>
            <m:rPr>
              <m:sty m:val="p"/>
            </m:rPr>
            <m:t>(</m:t>
          </m:r>
          <m:r>
            <m:t>11</m:t>
          </m:r>
          <m:r>
            <m:rPr>
              <m:sty m:val="p"/>
            </m:rPr>
            <m:t>)</m:t>
          </m:r>
        </m:oMath>
      </m:oMathPara>
      <w:bookmarkEnd w:id="43"/>
    </w:p>
    <w:p>
      <w:pPr>
        <w:pStyle w:val="FirstParagraph"/>
      </w:pPr>
      <w:r>
        <w:t xml:space="preserve">En el caso base, un aumento de un punto porcentual absoluto en</w:t>
      </w:r>
      <w:r>
        <w:t xml:space="preserve"> </w:t>
      </w:r>
      <m:oMath>
        <m:sSub>
          <m:e>
            <m:r>
              <m:t>x</m:t>
            </m:r>
          </m:e>
          <m:sub>
            <m:r>
              <m:t>F</m:t>
            </m:r>
          </m:sub>
        </m:sSub>
      </m:oMath>
      <w:r>
        <w:t xml:space="preserve"> </w:t>
      </w:r>
      <w:r>
        <w:t xml:space="preserve">incrementaría localmente</w:t>
      </w:r>
      <w:r>
        <w:t xml:space="preserve"> </w:t>
      </w:r>
      <m:oMath>
        <m:r>
          <m:t>P</m:t>
        </m:r>
      </m:oMath>
      <w:r>
        <w:t xml:space="preserve"> </w:t>
      </w:r>
      <w:r>
        <w:t xml:space="preserve">en aproximadamente</w:t>
      </w:r>
      <w:r>
        <w:t xml:space="preserve"> </w:t>
      </w:r>
      <m:oMath>
        <m:r>
          <m:t>35.7</m:t>
        </m:r>
        <m:r>
          <m:t> </m:t>
        </m:r>
        <m:r>
          <m:rPr>
            <m:sty m:val="p"/>
          </m:rPr>
          <m:t>k</m:t>
        </m:r>
        <m:r>
          <m:rPr>
            <m:sty m:val="p"/>
          </m:rPr>
          <m:t>g</m:t>
        </m:r>
        <m:r>
          <m:rPr>
            <m:sty m:val="p"/>
          </m:rPr>
          <m:t>/</m:t>
        </m:r>
        <m:r>
          <m:rPr>
            <m:sty m:val="p"/>
          </m:rPr>
          <m:t>h</m:t>
        </m:r>
      </m:oMath>
      <w:r>
        <w:t xml:space="preserve">. Un punto porcentual en</w:t>
      </w:r>
      <w:r>
        <w:t xml:space="preserve"> </w:t>
      </w:r>
      <m:oMath>
        <m:sSub>
          <m:e>
            <m:r>
              <m:t>x</m:t>
            </m:r>
          </m:e>
          <m:sub>
            <m:r>
              <m:t>P</m:t>
            </m:r>
          </m:sub>
        </m:sSub>
      </m:oMath>
      <w:r>
        <w:t xml:space="preserve"> </w:t>
      </w:r>
      <w:r>
        <w:t xml:space="preserve">lo reduciría aproximadamente</w:t>
      </w:r>
      <w:r>
        <w:t xml:space="preserve"> </w:t>
      </w:r>
      <m:oMath>
        <m:r>
          <m:t>12.8</m:t>
        </m:r>
        <m:r>
          <m:t> </m:t>
        </m:r>
        <m:r>
          <m:rPr>
            <m:sty m:val="p"/>
          </m:rPr>
          <m:t>k</m:t>
        </m:r>
        <m:r>
          <m:rPr>
            <m:sty m:val="p"/>
          </m:rPr>
          <m:t>g</m:t>
        </m:r>
        <m:r>
          <m:rPr>
            <m:sty m:val="p"/>
          </m:rPr>
          <m:t>/</m:t>
        </m:r>
        <m:r>
          <m:rPr>
            <m:sty m:val="p"/>
          </m:rPr>
          <m:t>h</m:t>
        </m:r>
      </m:oMath>
      <w:r>
        <w:t xml:space="preserve">; un punto en</w:t>
      </w:r>
      <w:r>
        <w:t xml:space="preserve"> </w:t>
      </w:r>
      <m:oMath>
        <m:sSub>
          <m:e>
            <m:r>
              <m:t>x</m:t>
            </m:r>
          </m:e>
          <m:sub>
            <m:r>
              <m:t>L</m:t>
            </m:r>
          </m:sub>
        </m:sSub>
      </m:oMath>
      <w:r>
        <w:t xml:space="preserve"> </w:t>
      </w:r>
      <w:r>
        <w:t xml:space="preserve">lo reduciría cerca de</w:t>
      </w:r>
      <w:r>
        <w:t xml:space="preserve"> </w:t>
      </w:r>
      <m:oMath>
        <m:r>
          <m:t>23.0</m:t>
        </m:r>
        <m:r>
          <m:t> </m:t>
        </m:r>
        <m:r>
          <m:rPr>
            <m:sty m:val="p"/>
          </m:rPr>
          <m:t>k</m:t>
        </m:r>
        <m:r>
          <m:rPr>
            <m:sty m:val="p"/>
          </m:rPr>
          <m:t>g</m:t>
        </m:r>
        <m:r>
          <m:rPr>
            <m:sty m:val="p"/>
          </m:rPr>
          <m:t>/</m:t>
        </m:r>
        <m:r>
          <m:rPr>
            <m:sty m:val="p"/>
          </m:rPr>
          <m:t>h</m:t>
        </m:r>
      </m:oMath>
      <w:r>
        <w:t xml:space="preserve">. Estas cifras son derivadas locales: no reemplazan el recálculo cuando los cambios son grandes.</w:t>
      </w:r>
    </w:p>
    <w:tbl>
      <w:tblPr>
        <w:tblStyle w:val="Table"/>
        <w:tblW w:type="pct" w:w="5000"/>
        <w:tblLayout w:type="fixed"/>
        <w:tblLook w:firstRow="0" w:lastRow="0" w:firstColumn="0" w:lastColumn="0" w:noHBand="0" w:noVBand="0" w:val="0000"/>
      </w:tblPr>
      <w:tblGrid>
        <w:gridCol w:w="7920"/>
      </w:tblGrid>
      <w:tr>
        <w:tc>
          <w:tcPr/>
          <w:bookmarkStart w:id="47" w:name="fig-sensitivity"/>
          <w:p>
            <w:pPr>
              <w:pStyle w:val="Compact"/>
              <w:jc w:val="center"/>
            </w:pPr>
            <w:r>
              <w:drawing>
                <wp:inline>
                  <wp:extent cx="4693920" cy="3201696"/>
                  <wp:effectExtent b="0" l="0" r="0" t="0"/>
                  <wp:docPr descr="" title="" id="45" name="Picture"/>
                  <a:graphic>
                    <a:graphicData uri="http://schemas.openxmlformats.org/drawingml/2006/picture">
                      <pic:pic>
                        <pic:nvPicPr>
                          <pic:cNvPr descr="../../../assets/NS-SBTP-PSF-001-v2.0/fig03_separator_sensitivity.png" id="46" name="Picture"/>
                          <pic:cNvPicPr>
                            <a:picLocks noChangeArrowheads="1" noChangeAspect="1"/>
                          </pic:cNvPicPr>
                        </pic:nvPicPr>
                        <pic:blipFill>
                          <a:blip r:embed="rId44"/>
                          <a:stretch>
                            <a:fillRect/>
                          </a:stretch>
                        </pic:blipFill>
                        <pic:spPr bwMode="auto">
                          <a:xfrm>
                            <a:off x="0" y="0"/>
                            <a:ext cx="4693920" cy="3201696"/>
                          </a:xfrm>
                          <a:prstGeom prst="rect">
                            <a:avLst/>
                          </a:prstGeom>
                          <a:noFill/>
                          <a:ln w="9525">
                            <a:noFill/>
                            <a:headEnd/>
                            <a:tailEnd/>
                          </a:ln>
                        </pic:spPr>
                      </pic:pic>
                    </a:graphicData>
                  </a:graphic>
                </wp:inline>
              </w:drawing>
            </w:r>
          </w:p>
          <w:p>
            <w:pPr>
              <w:jc w:val="center"/>
            </w:pPr>
            <w:pPr>
              <w:jc w:val="left"/>
              <w:spacing w:before="200"/>
              <w:pStyle w:val="ImageCaption"/>
            </w:pPr>
            <w:r>
              <w:t xml:space="preserve">Figura 3: Sensibilidad del caudal de producto a la concentración del producto, manteniendo constantes la alimentación y la composición de la corriente líquida.</w:t>
            </w:r>
          </w:p>
          <w:bookmarkEnd w:id="47"/>
        </w:tc>
      </w:tr>
    </w:tbl>
    <w:p>
      <w:pPr>
        <w:pStyle w:val="BodyText"/>
      </w:pPr>
      <w:r>
        <w:t xml:space="preserve">La curva de la</w:t>
      </w:r>
      <w:r>
        <w:t xml:space="preserve"> </w:t>
      </w:r>
      <w:hyperlink w:anchor="fig-sensitivity">
        <w:r>
          <w:rPr>
            <w:rStyle w:val="Hyperlink"/>
          </w:rPr>
          <w:t xml:space="preserve">Figura 3</w:t>
        </w:r>
      </w:hyperlink>
      <w:r>
        <w:t xml:space="preserve"> </w:t>
      </w:r>
      <w:r>
        <w:t xml:space="preserve">no es lineal. Cerca de</w:t>
      </w:r>
      <w:r>
        <w:t xml:space="preserve"> </w:t>
      </w:r>
      <m:oMath>
        <m:sSub>
          <m:e>
            <m:r>
              <m:t>x</m:t>
            </m:r>
          </m:e>
          <m:sub>
            <m:r>
              <m:t>P</m:t>
            </m:r>
          </m:sub>
        </m:sSub>
        <m:r>
          <m:rPr>
            <m:sty m:val="p"/>
          </m:rPr>
          <m:t>=</m:t>
        </m:r>
        <m:sSub>
          <m:e>
            <m:r>
              <m:t>x</m:t>
            </m:r>
          </m:e>
          <m:sub>
            <m:r>
              <m:t>L</m:t>
            </m:r>
          </m:sub>
        </m:sSub>
      </m:oMath>
      <w:r>
        <w:t xml:space="preserve">, el cálculo se vuelve extremadamente sensible: pequeñas diferencias analíticas producen grandes variaciones de caudal. A concentraciones más altas, la pendiente disminuye. Esto indica dónde conviene invertir en mejor muestreo o medición: no todas las variables aportan la misma incertidumbre a la respuesta.</w:t>
      </w:r>
    </w:p>
    <w:p>
      <w:pPr>
        <w:pStyle w:val="BodyText"/>
      </w:pPr>
      <w:r>
        <w:t xml:space="preserve">No puede concluirse de la figura que aumentar</w:t>
      </w:r>
      <w:r>
        <w:t xml:space="preserve"> </w:t>
      </w:r>
      <m:oMath>
        <m:sSub>
          <m:e>
            <m:r>
              <m:t>x</m:t>
            </m:r>
          </m:e>
          <m:sub>
            <m:r>
              <m:t>P</m:t>
            </m:r>
          </m:sub>
        </m:sSub>
      </m:oMath>
      <w:r>
        <w:t xml:space="preserve"> </w:t>
      </w:r>
      <w:r>
        <w:t xml:space="preserve">“cause” por sí solo una reducción de producción en una planta. El gráfico mantiene otras variables fijas y representa una relación de balance, no la cinética ni la capacidad del equipo.</w:t>
      </w:r>
    </w:p>
    <w:bookmarkEnd w:id="48"/>
    <w:bookmarkStart w:id="55" w:name="Xda78b23de087a23aaf3fe4a366dfc941632991c"/>
    <w:p>
      <w:pPr>
        <w:pStyle w:val="Heading1"/>
      </w:pPr>
      <w:r>
        <w:t xml:space="preserve">Caso trabajado II: acumulación de componente</w:t>
      </w:r>
    </w:p>
    <w:p>
      <w:pPr>
        <w:pStyle w:val="FirstParagraph"/>
      </w:pPr>
      <w:r>
        <w:t xml:space="preserve">Considérese un tanque perfectamente mezclado con inventario constante</w:t>
      </w:r>
      <w:r>
        <w:t xml:space="preserve"> </w:t>
      </w:r>
      <m:oMath>
        <m:r>
          <m:t>M</m:t>
        </m:r>
        <m:r>
          <m:rPr>
            <m:sty m:val="p"/>
          </m:rPr>
          <m:t>=</m:t>
        </m:r>
        <m:r>
          <m:t>500</m:t>
        </m:r>
        <m:r>
          <m:t> </m:t>
        </m:r>
        <m:r>
          <m:rPr>
            <m:sty m:val="p"/>
          </m:rPr>
          <m:t>k</m:t>
        </m:r>
        <m:r>
          <m:rPr>
            <m:sty m:val="p"/>
          </m:rPr>
          <m:t>g</m:t>
        </m:r>
      </m:oMath>
      <w:r>
        <w:t xml:space="preserve">. Entran y salen</w:t>
      </w:r>
      <w:r>
        <w:t xml:space="preserve"> </w:t>
      </w:r>
      <m:oMath>
        <m:r>
          <m:t>F</m:t>
        </m:r>
        <m:r>
          <m:rPr>
            <m:sty m:val="p"/>
          </m:rPr>
          <m:t>=</m:t>
        </m:r>
        <m:r>
          <m:t>100</m:t>
        </m:r>
        <m:r>
          <m:t> </m:t>
        </m:r>
        <m:r>
          <m:rPr>
            <m:sty m:val="p"/>
          </m:rPr>
          <m:t>k</m:t>
        </m:r>
        <m:r>
          <m:rPr>
            <m:sty m:val="p"/>
          </m:rPr>
          <m:t>g</m:t>
        </m:r>
        <m:r>
          <m:rPr>
            <m:sty m:val="p"/>
          </m:rPr>
          <m:t>/</m:t>
        </m:r>
        <m:r>
          <m:rPr>
            <m:sty m:val="p"/>
          </m:rPr>
          <m:t>h</m:t>
        </m:r>
      </m:oMath>
      <w:r>
        <w:t xml:space="preserve">, por lo que el balance total está en estado estacionario. La fracción másica de entrada cambia a</w:t>
      </w:r>
      <w:r>
        <w:t xml:space="preserve"> </w:t>
      </w:r>
      <m:oMath>
        <m:sSub>
          <m:e>
            <m:r>
              <m:t>x</m:t>
            </m:r>
          </m:e>
          <m:sub>
            <m:r>
              <m:rPr>
                <m:sty m:val="p"/>
              </m:rPr>
              <m:t>i</m:t>
            </m:r>
            <m:r>
              <m:rPr>
                <m:sty m:val="p"/>
              </m:rPr>
              <m:t>n</m:t>
            </m:r>
          </m:sub>
        </m:sSub>
        <m:r>
          <m:rPr>
            <m:sty m:val="p"/>
          </m:rPr>
          <m:t>=</m:t>
        </m:r>
        <m:r>
          <m:t>0.10</m:t>
        </m:r>
      </m:oMath>
      <w:r>
        <w:t xml:space="preserve">, mientras el tanque inicia en</w:t>
      </w:r>
      <w:r>
        <w:t xml:space="preserve"> </w:t>
      </w:r>
      <m:oMath>
        <m:sSub>
          <m:e>
            <m:r>
              <m:t>x</m:t>
            </m:r>
          </m:e>
          <m:sub>
            <m:r>
              <m:t>0</m:t>
            </m:r>
          </m:sub>
        </m:sSub>
        <m:r>
          <m:rPr>
            <m:sty m:val="p"/>
          </m:rPr>
          <m:t>=</m:t>
        </m:r>
        <m:r>
          <m:t>0.02</m:t>
        </m:r>
      </m:oMath>
      <w:r>
        <w:t xml:space="preserve">.</w:t>
      </w:r>
    </w:p>
    <w:p>
      <w:pPr>
        <w:pStyle w:val="BodyText"/>
      </w:pPr>
      <w:r>
        <w:t xml:space="preserve">La salida tiene la composición instantánea del tanque,</w:t>
      </w:r>
      <w:r>
        <w:t xml:space="preserve"> </w:t>
      </w:r>
      <m:oMath>
        <m:r>
          <m:t>x</m:t>
        </m:r>
        <m:r>
          <m:rPr>
            <m:sty m:val="p"/>
          </m:rPr>
          <m:t>(</m:t>
        </m:r>
        <m:r>
          <m:t>t</m:t>
        </m:r>
        <m:r>
          <m:rPr>
            <m:sty m:val="p"/>
          </m:rPr>
          <m:t>)</m:t>
        </m:r>
      </m:oMath>
      <w:r>
        <w:t xml:space="preserve">. El balance de componente es:</w:t>
      </w:r>
    </w:p>
    <w:p>
      <w:pPr>
        <w:pStyle w:val="BodyText"/>
      </w:pPr>
      <w:bookmarkStart w:id="49" w:name="eq-tank-ode"/>
      <m:oMathPara>
        <m:oMathParaPr>
          <m:jc m:val="center"/>
        </m:oMathParaPr>
        <m:oMath>
          <m:r>
            <m:t>M</m:t>
          </m:r>
          <m:f>
            <m:fPr>
              <m:type m:val="bar"/>
            </m:fPr>
            <m:num>
              <m:r>
                <m:t>d</m:t>
              </m:r>
              <m:r>
                <m:t>x</m:t>
              </m:r>
            </m:num>
            <m:den>
              <m:r>
                <m:t>d</m:t>
              </m:r>
              <m:r>
                <m:t>t</m:t>
              </m:r>
            </m:den>
          </m:f>
          <m:r>
            <m:rPr>
              <m:sty m:val="p"/>
            </m:rPr>
            <m:t>=</m:t>
          </m:r>
          <m:r>
            <m:t>F</m:t>
          </m:r>
          <m:sSub>
            <m:e>
              <m:r>
                <m:t>x</m:t>
              </m:r>
            </m:e>
            <m:sub>
              <m:r>
                <m:rPr>
                  <m:sty m:val="p"/>
                </m:rPr>
                <m:t>i</m:t>
              </m:r>
              <m:r>
                <m:rPr>
                  <m:sty m:val="p"/>
                </m:rPr>
                <m:t>n</m:t>
              </m:r>
            </m:sub>
          </m:sSub>
          <m:r>
            <m:rPr>
              <m:sty m:val="p"/>
            </m:rPr>
            <m:t>−</m:t>
          </m:r>
          <m:r>
            <m:t>F</m:t>
          </m:r>
          <m:r>
            <m:t>x</m:t>
          </m:r>
          <m:r>
            <m:rPr>
              <m:sty m:val="p"/>
            </m:rPr>
            <m:t>.</m:t>
          </m:r>
          <m:r>
            <m:t>  </m:t>
          </m:r>
          <m:r>
            <m:rPr>
              <m:sty m:val="p"/>
            </m:rPr>
            <m:t>(</m:t>
          </m:r>
          <m:r>
            <m:t>12</m:t>
          </m:r>
          <m:r>
            <m:rPr>
              <m:sty m:val="p"/>
            </m:rPr>
            <m:t>)</m:t>
          </m:r>
        </m:oMath>
      </m:oMathPara>
      <w:bookmarkEnd w:id="49"/>
    </w:p>
    <w:p>
      <w:pPr>
        <w:pStyle w:val="FirstParagraph"/>
      </w:pPr>
      <w:r>
        <w:t xml:space="preserve">Definiendo</w:t>
      </w:r>
      <w:r>
        <w:t xml:space="preserve"> </w:t>
      </w:r>
      <m:oMath>
        <m:r>
          <m:t>τ</m:t>
        </m:r>
        <m:r>
          <m:rPr>
            <m:sty m:val="p"/>
          </m:rPr>
          <m:t>=</m:t>
        </m:r>
        <m:r>
          <m:t>M</m:t>
        </m:r>
        <m:r>
          <m:rPr>
            <m:sty m:val="p"/>
          </m:rPr>
          <m:t>/</m:t>
        </m:r>
        <m:r>
          <m:t>F</m:t>
        </m:r>
      </m:oMath>
      <w:r>
        <w:t xml:space="preserve">, la solución es:</w:t>
      </w:r>
    </w:p>
    <w:p>
      <w:pPr>
        <w:pStyle w:val="BodyText"/>
      </w:pPr>
      <w:bookmarkStart w:id="50" w:name="eq-tank-solution"/>
      <m:oMathPara>
        <m:oMathParaPr>
          <m:jc m:val="center"/>
        </m:oMathParaPr>
        <m:oMath>
          <m:r>
            <m:t>x</m:t>
          </m:r>
          <m:r>
            <m:rPr>
              <m:sty m:val="p"/>
            </m:rPr>
            <m:t>(</m:t>
          </m:r>
          <m:r>
            <m:t>t</m:t>
          </m:r>
          <m:r>
            <m:rPr>
              <m:sty m:val="p"/>
            </m:rPr>
            <m:t>)</m:t>
          </m:r>
          <m:r>
            <m:rPr>
              <m:sty m:val="p"/>
            </m:rPr>
            <m:t>=</m:t>
          </m:r>
          <m:sSub>
            <m:e>
              <m:r>
                <m:t>x</m:t>
              </m:r>
            </m:e>
            <m:sub>
              <m:r>
                <m:rPr>
                  <m:sty m:val="p"/>
                </m:rPr>
                <m:t>i</m:t>
              </m:r>
              <m:r>
                <m:rPr>
                  <m:sty m:val="p"/>
                </m:rPr>
                <m:t>n</m:t>
              </m:r>
            </m:sub>
          </m:sSub>
          <m:r>
            <m:rPr>
              <m:sty m:val="p"/>
            </m:rPr>
            <m:t>+</m:t>
          </m:r>
          <m:d>
            <m:dPr>
              <m:begChr m:val="("/>
              <m:sepChr m:val=""/>
              <m:endChr m:val=")"/>
              <m:grow/>
            </m:dPr>
            <m:e>
              <m:sSub>
                <m:e>
                  <m:r>
                    <m:t>x</m:t>
                  </m:r>
                </m:e>
                <m:sub>
                  <m:r>
                    <m:t>0</m:t>
                  </m:r>
                </m:sub>
              </m:sSub>
              <m:r>
                <m:rPr>
                  <m:sty m:val="p"/>
                </m:rPr>
                <m:t>−</m:t>
              </m:r>
              <m:sSub>
                <m:e>
                  <m:r>
                    <m:t>x</m:t>
                  </m:r>
                </m:e>
                <m:sub>
                  <m:r>
                    <m:rPr>
                      <m:sty m:val="p"/>
                    </m:rPr>
                    <m:t>i</m:t>
                  </m:r>
                  <m:r>
                    <m:rPr>
                      <m:sty m:val="p"/>
                    </m:rPr>
                    <m:t>n</m:t>
                  </m:r>
                </m:sub>
              </m:sSub>
            </m:e>
          </m:d>
          <m:sSup>
            <m:e>
              <m:r>
                <m:t>e</m:t>
              </m:r>
            </m:e>
            <m:sup>
              <m:r>
                <m:rPr>
                  <m:sty m:val="p"/>
                </m:rPr>
                <m:t>−</m:t>
              </m:r>
              <m:r>
                <m:t>t</m:t>
              </m:r>
              <m:r>
                <m:rPr>
                  <m:sty m:val="p"/>
                </m:rPr>
                <m:t>/</m:t>
              </m:r>
              <m:r>
                <m:t>τ</m:t>
              </m:r>
            </m:sup>
          </m:sSup>
          <m:r>
            <m:rPr>
              <m:sty m:val="p"/>
            </m:rPr>
            <m:t>,</m:t>
          </m:r>
          <m:r>
            <m:t>  </m:t>
          </m:r>
          <m:r>
            <m:t>τ</m:t>
          </m:r>
          <m:r>
            <m:rPr>
              <m:sty m:val="p"/>
            </m:rPr>
            <m:t>=</m:t>
          </m:r>
          <m:r>
            <m:t>5</m:t>
          </m:r>
          <m:r>
            <m:t> </m:t>
          </m:r>
          <m:r>
            <m:rPr>
              <m:sty m:val="p"/>
            </m:rPr>
            <m:t>h</m:t>
          </m:r>
          <m:r>
            <m:rPr>
              <m:sty m:val="p"/>
            </m:rPr>
            <m:t>.</m:t>
          </m:r>
          <m:r>
            <m:t>  </m:t>
          </m:r>
          <m:r>
            <m:rPr>
              <m:sty m:val="p"/>
            </m:rPr>
            <m:t>(</m:t>
          </m:r>
          <m:r>
            <m:t>13</m:t>
          </m:r>
          <m:r>
            <m:rPr>
              <m:sty m:val="p"/>
            </m:rPr>
            <m:t>)</m:t>
          </m:r>
        </m:oMath>
      </m:oMathPara>
      <w:bookmarkEnd w:id="50"/>
    </w:p>
    <w:tbl>
      <w:tblPr>
        <w:tblStyle w:val="Table"/>
        <w:tblW w:type="pct" w:w="5000"/>
        <w:tblLayout w:type="fixed"/>
        <w:tblLook w:firstRow="0" w:lastRow="0" w:firstColumn="0" w:lastColumn="0" w:noHBand="0" w:noVBand="0" w:val="0000"/>
      </w:tblPr>
      <w:tblGrid>
        <w:gridCol w:w="7920"/>
      </w:tblGrid>
      <w:tr>
        <w:tc>
          <w:tcPr/>
          <w:bookmarkStart w:id="54" w:name="fig-transient"/>
          <w:p>
            <w:pPr>
              <w:pStyle w:val="Compact"/>
              <w:jc w:val="center"/>
            </w:pPr>
            <w:r>
              <w:drawing>
                <wp:inline>
                  <wp:extent cx="4693920" cy="4116624"/>
                  <wp:effectExtent b="0" l="0" r="0" t="0"/>
                  <wp:docPr descr="" title="" id="52" name="Picture"/>
                  <a:graphic>
                    <a:graphicData uri="http://schemas.openxmlformats.org/drawingml/2006/picture">
                      <pic:pic>
                        <pic:nvPicPr>
                          <pic:cNvPr descr="../../../assets/NS-SBTP-PSF-001-v2.0/fig04_transient_tank.png" id="53" name="Picture"/>
                          <pic:cNvPicPr>
                            <a:picLocks noChangeArrowheads="1" noChangeAspect="1"/>
                          </pic:cNvPicPr>
                        </pic:nvPicPr>
                        <pic:blipFill>
                          <a:blip r:embed="rId51"/>
                          <a:stretch>
                            <a:fillRect/>
                          </a:stretch>
                        </pic:blipFill>
                        <pic:spPr bwMode="auto">
                          <a:xfrm>
                            <a:off x="0" y="0"/>
                            <a:ext cx="4693920" cy="4116624"/>
                          </a:xfrm>
                          <a:prstGeom prst="rect">
                            <a:avLst/>
                          </a:prstGeom>
                          <a:noFill/>
                          <a:ln w="9525">
                            <a:noFill/>
                            <a:headEnd/>
                            <a:tailEnd/>
                          </a:ln>
                        </pic:spPr>
                      </pic:pic>
                    </a:graphicData>
                  </a:graphic>
                </wp:inline>
              </w:drawing>
            </w:r>
          </w:p>
          <w:p>
            <w:pPr>
              <w:jc w:val="center"/>
            </w:pPr>
            <w:pPr>
              <w:jc w:val="left"/>
              <w:spacing w:before="200"/>
              <w:pStyle w:val="ImageCaption"/>
            </w:pPr>
            <w:r>
              <w:t xml:space="preserve">Figura 4: Respuesta transitoria del componente. El inventario total permanece constante, pero el componente se acumula hasta acercarse a la composición de entrada.</w:t>
            </w:r>
          </w:p>
          <w:bookmarkEnd w:id="54"/>
        </w:tc>
      </w:tr>
    </w:tbl>
    <w:p>
      <w:pPr>
        <w:pStyle w:val="BodyText"/>
      </w:pPr>
      <w:r>
        <w:t xml:space="preserve">A</w:t>
      </w:r>
      <w:r>
        <w:t xml:space="preserve"> </w:t>
      </w:r>
      <m:oMath>
        <m:r>
          <m:t>t</m:t>
        </m:r>
        <m:r>
          <m:rPr>
            <m:sty m:val="p"/>
          </m:rPr>
          <m:t>=</m:t>
        </m:r>
        <m:r>
          <m:t>5</m:t>
        </m:r>
        <m:r>
          <m:t> </m:t>
        </m:r>
        <m:r>
          <m:rPr>
            <m:sty m:val="p"/>
          </m:rPr>
          <m:t>h</m:t>
        </m:r>
        <m:r>
          <m:rPr>
            <m:sty m:val="p"/>
          </m:rPr>
          <m:t>=</m:t>
        </m:r>
        <m:r>
          <m:t>τ</m:t>
        </m:r>
      </m:oMath>
      <w:r>
        <w:t xml:space="preserve">,</w:t>
      </w:r>
      <w:r>
        <w:t xml:space="preserve"> </w:t>
      </w:r>
      <m:oMath>
        <m:r>
          <m:t>x</m:t>
        </m:r>
        <m:r>
          <m:rPr>
            <m:sty m:val="p"/>
          </m:rPr>
          <m:t>=</m:t>
        </m:r>
        <m:r>
          <m:t>0.07057</m:t>
        </m:r>
      </m:oMath>
      <w:r>
        <w:t xml:space="preserve">: el sistema ha recorrido aproximadamente 63.2% de la distancia entre su condición inicial y final. A</w:t>
      </w:r>
      <w:r>
        <w:t xml:space="preserve"> </w:t>
      </w:r>
      <m:oMath>
        <m:r>
          <m:t>t</m:t>
        </m:r>
        <m:r>
          <m:rPr>
            <m:sty m:val="p"/>
          </m:rPr>
          <m:t>=</m:t>
        </m:r>
        <m:r>
          <m:t>15</m:t>
        </m:r>
        <m:r>
          <m:t> </m:t>
        </m:r>
        <m:r>
          <m:rPr>
            <m:sty m:val="p"/>
          </m:rPr>
          <m:t>h</m:t>
        </m:r>
        <m:r>
          <m:rPr>
            <m:sty m:val="p"/>
          </m:rPr>
          <m:t>=</m:t>
        </m:r>
        <m:r>
          <m:t>3</m:t>
        </m:r>
        <m:r>
          <m:t>τ</m:t>
        </m:r>
      </m:oMath>
      <w:r>
        <w:t xml:space="preserve">,</w:t>
      </w:r>
      <w:r>
        <w:t xml:space="preserve"> </w:t>
      </w:r>
      <m:oMath>
        <m:r>
          <m:t>x</m:t>
        </m:r>
        <m:r>
          <m:rPr>
            <m:sty m:val="p"/>
          </m:rPr>
          <m:t>=</m:t>
        </m:r>
        <m:r>
          <m:t>0.09602</m:t>
        </m:r>
      </m:oMath>
      <w:r>
        <w:t xml:space="preserve">, cerca de 95% del cambio. La acumulación de componente es inicialmente</w:t>
      </w:r>
      <w:r>
        <w:t xml:space="preserve"> </w:t>
      </w:r>
      <m:oMath>
        <m:r>
          <m:t>F</m:t>
        </m:r>
        <m:r>
          <m:rPr>
            <m:sty m:val="p"/>
          </m:rPr>
          <m:t>(</m:t>
        </m:r>
        <m:sSub>
          <m:e>
            <m:r>
              <m:t>x</m:t>
            </m:r>
          </m:e>
          <m:sub>
            <m:r>
              <m:rPr>
                <m:sty m:val="p"/>
              </m:rPr>
              <m:t>i</m:t>
            </m:r>
            <m:r>
              <m:rPr>
                <m:sty m:val="p"/>
              </m:rPr>
              <m:t>n</m:t>
            </m:r>
          </m:sub>
        </m:sSub>
        <m:r>
          <m:rPr>
            <m:sty m:val="p"/>
          </m:rPr>
          <m:t>−</m:t>
        </m:r>
        <m:sSub>
          <m:e>
            <m:r>
              <m:t>x</m:t>
            </m:r>
          </m:e>
          <m:sub>
            <m:r>
              <m:t>0</m:t>
            </m:r>
          </m:sub>
        </m:sSub>
        <m:r>
          <m:rPr>
            <m:sty m:val="p"/>
          </m:rPr>
          <m:t>)</m:t>
        </m:r>
        <m:r>
          <m:rPr>
            <m:sty m:val="p"/>
          </m:rPr>
          <m:t>=</m:t>
        </m:r>
        <m:r>
          <m:t>8</m:t>
        </m:r>
        <m:r>
          <m:t> </m:t>
        </m:r>
        <m:r>
          <m:rPr>
            <m:sty m:val="p"/>
          </m:rPr>
          <m:t>k</m:t>
        </m:r>
        <m:r>
          <m:rPr>
            <m:sty m:val="p"/>
          </m:rPr>
          <m:t>g</m:t>
        </m:r>
        <m:r>
          <m:rPr>
            <m:sty m:val="p"/>
          </m:rPr>
          <m:t>/</m:t>
        </m:r>
        <m:r>
          <m:rPr>
            <m:sty m:val="p"/>
          </m:rPr>
          <m:t>h</m:t>
        </m:r>
      </m:oMath>
      <w:r>
        <w:t xml:space="preserve"> </w:t>
      </w:r>
      <w:r>
        <w:t xml:space="preserve">y decae hacia cero.</w:t>
      </w:r>
    </w:p>
    <w:p>
      <w:pPr>
        <w:pStyle w:val="BodyText"/>
      </w:pPr>
      <w:r>
        <w:t xml:space="preserve">Este ejemplo demuestra que</w:t>
      </w:r>
      <w:r>
        <w:t xml:space="preserve"> </w:t>
      </w:r>
      <w:r>
        <w:rPr>
          <w:b/>
          <w:bCs/>
        </w:rPr>
        <w:t xml:space="preserve">cierre total no implica cierre por componente</w:t>
      </w:r>
      <w:r>
        <w:t xml:space="preserve">. Si solo se registran los caudales total de entrada y salida, el proceso parece estacionario desde el primer instante. La composición revela la dinámica interna. También muestra por qué las muestras deben sincronizarse con el tiempo de residencia: comparar entrada actual con salida que representa material alimentado horas antes puede producir un falso error de balance.</w:t>
      </w:r>
    </w:p>
    <w:p>
      <w:pPr>
        <w:pStyle w:val="BodyText"/>
      </w:pPr>
      <w:r>
        <w:t xml:space="preserve">La solución supone mezcla perfecta, densidad y caudales constantes, ausencia de reacción y medición instantánea. Estratificación, volumen muerto, retardo de analizadores o caudal variable modifican la respuesta y exigen un modelo más detallado.</w:t>
      </w:r>
    </w:p>
    <w:bookmarkEnd w:id="55"/>
    <w:bookmarkStart w:id="61" w:name="cierre-de-balance-e-incertidumbre"/>
    <w:p>
      <w:pPr>
        <w:pStyle w:val="Heading1"/>
      </w:pPr>
      <w:r>
        <w:t xml:space="preserve">Cierre de balance e incertidumbre</w:t>
      </w:r>
    </w:p>
    <w:bookmarkStart w:id="58" w:name="residual-y-cierre-relativo"/>
    <w:p>
      <w:pPr>
        <w:pStyle w:val="Heading2"/>
      </w:pPr>
      <w:r>
        <w:t xml:space="preserve">Residual y cierre relativo</w:t>
      </w:r>
    </w:p>
    <w:p>
      <w:pPr>
        <w:pStyle w:val="FirstParagraph"/>
      </w:pPr>
      <w:r>
        <w:t xml:space="preserve">Para un balance total estacionario puede definirse el residual:</w:t>
      </w:r>
    </w:p>
    <w:p>
      <w:pPr>
        <w:pStyle w:val="BodyText"/>
      </w:pPr>
      <w:bookmarkStart w:id="56" w:name="eq-residual"/>
      <m:oMathPara>
        <m:oMathParaPr>
          <m:jc m:val="center"/>
        </m:oMathParaPr>
        <m:oMath>
          <m:r>
            <m:t>r</m:t>
          </m:r>
          <m:r>
            <m:rPr>
              <m:sty m:val="p"/>
            </m:rPr>
            <m:t>=</m:t>
          </m:r>
          <m:r>
            <m:rPr>
              <m:sty m:val="p"/>
            </m:rPr>
            <m:t>∑</m:t>
          </m:r>
          <m:sSub>
            <m:e>
              <m:acc>
                <m:accPr>
                  <m:chr m:val="̇"/>
                </m:accPr>
                <m:e>
                  <m:r>
                    <m:t>m</m:t>
                  </m:r>
                </m:e>
              </m:acc>
            </m:e>
            <m:sub>
              <m:r>
                <m:rPr>
                  <m:sty m:val="p"/>
                </m:rPr>
                <m:t>i</m:t>
              </m:r>
              <m:r>
                <m:rPr>
                  <m:sty m:val="p"/>
                </m:rPr>
                <m:t>n</m:t>
              </m:r>
            </m:sub>
          </m:sSub>
          <m:r>
            <m:rPr>
              <m:sty m:val="p"/>
            </m:rPr>
            <m:t>−</m:t>
          </m:r>
          <m:r>
            <m:rPr>
              <m:sty m:val="p"/>
            </m:rPr>
            <m:t>∑</m:t>
          </m:r>
          <m:sSub>
            <m:e>
              <m:acc>
                <m:accPr>
                  <m:chr m:val="̇"/>
                </m:accPr>
                <m:e>
                  <m:r>
                    <m:t>m</m:t>
                  </m:r>
                </m:e>
              </m:acc>
            </m:e>
            <m:sub>
              <m:r>
                <m:rPr>
                  <m:sty m:val="p"/>
                </m:rPr>
                <m:t>o</m:t>
              </m:r>
              <m:r>
                <m:rPr>
                  <m:sty m:val="p"/>
                </m:rPr>
                <m:t>u</m:t>
              </m:r>
              <m:r>
                <m:rPr>
                  <m:sty m:val="p"/>
                </m:rPr>
                <m:t>t</m:t>
              </m:r>
            </m:sub>
          </m:sSub>
          <m:r>
            <m:rPr>
              <m:sty m:val="p"/>
            </m:rPr>
            <m:t>.</m:t>
          </m:r>
          <m:r>
            <m:t>  </m:t>
          </m:r>
          <m:r>
            <m:rPr>
              <m:sty m:val="p"/>
            </m:rPr>
            <m:t>(</m:t>
          </m:r>
          <m:r>
            <m:t>14</m:t>
          </m:r>
          <m:r>
            <m:rPr>
              <m:sty m:val="p"/>
            </m:rPr>
            <m:t>)</m:t>
          </m:r>
        </m:oMath>
      </m:oMathPara>
      <w:bookmarkEnd w:id="56"/>
    </w:p>
    <w:p>
      <w:pPr>
        <w:pStyle w:val="FirstParagraph"/>
      </w:pPr>
      <w:r>
        <w:t xml:space="preserve">Una métrica relativa frecuente es:</w:t>
      </w:r>
    </w:p>
    <w:p>
      <w:pPr>
        <w:pStyle w:val="BodyText"/>
      </w:pPr>
      <w:bookmarkStart w:id="57" w:name="eq-relative-closure"/>
      <m:oMathPara>
        <m:oMathParaPr>
          <m:jc m:val="center"/>
        </m:oMathParaPr>
        <m:oMath>
          <m:sSub>
            <m:e>
              <m:r>
                <m:t>e</m:t>
              </m:r>
            </m:e>
            <m:sub>
              <m:r>
                <m:rPr>
                  <m:sty m:val="p"/>
                </m:rPr>
                <m:t>r</m:t>
              </m:r>
              <m:r>
                <m:rPr>
                  <m:sty m:val="p"/>
                </m:rPr>
                <m:t>e</m:t>
              </m:r>
              <m:r>
                <m:rPr>
                  <m:sty m:val="p"/>
                </m:rPr>
                <m:t>l</m:t>
              </m:r>
            </m:sub>
          </m:sSub>
          <m:r>
            <m:rPr>
              <m:sty m:val="p"/>
            </m:rPr>
            <m:t>=</m:t>
          </m:r>
          <m:f>
            <m:fPr>
              <m:type m:val="bar"/>
            </m:fPr>
            <m:num>
              <m:r>
                <m:t>r</m:t>
              </m:r>
            </m:num>
            <m:den>
              <m:r>
                <m:rPr>
                  <m:sty m:val="p"/>
                </m:rPr>
                <m:t>∑</m:t>
              </m:r>
              <m:sSub>
                <m:e>
                  <m:acc>
                    <m:accPr>
                      <m:chr m:val="̇"/>
                    </m:accPr>
                    <m:e>
                      <m:r>
                        <m:t>m</m:t>
                      </m:r>
                    </m:e>
                  </m:acc>
                </m:e>
                <m:sub>
                  <m:r>
                    <m:rPr>
                      <m:sty m:val="p"/>
                    </m:rPr>
                    <m:t>i</m:t>
                  </m:r>
                  <m:r>
                    <m:rPr>
                      <m:sty m:val="p"/>
                    </m:rPr>
                    <m:t>n</m:t>
                  </m:r>
                </m:sub>
              </m:sSub>
            </m:den>
          </m:f>
          <m:r>
            <m:rPr>
              <m:sty m:val="p"/>
            </m:rPr>
            <m:t>×</m:t>
          </m:r>
          <m:r>
            <m:t>100</m:t>
          </m:r>
          <m:r>
            <m:rPr>
              <m:sty m:val="p"/>
            </m:rPr>
            <m:t>%</m:t>
          </m:r>
          <m:r>
            <m:rPr>
              <m:sty m:val="p"/>
            </m:rPr>
            <m:t>.</m:t>
          </m:r>
          <m:r>
            <m:t>  </m:t>
          </m:r>
          <m:r>
            <m:rPr>
              <m:sty m:val="p"/>
            </m:rPr>
            <m:t>(</m:t>
          </m:r>
          <m:r>
            <m:t>15</m:t>
          </m:r>
          <m:r>
            <m:rPr>
              <m:sty m:val="p"/>
            </m:rPr>
            <m:t>)</m:t>
          </m:r>
        </m:oMath>
      </m:oMathPara>
      <w:bookmarkEnd w:id="57"/>
    </w:p>
    <w:p>
      <w:pPr>
        <w:pStyle w:val="FirstParagraph"/>
      </w:pPr>
      <w:r>
        <w:t xml:space="preserve">El signo debe declararse. Con la convención anterior,</w:t>
      </w:r>
      <w:r>
        <w:t xml:space="preserve"> </w:t>
      </w:r>
      <m:oMath>
        <m:r>
          <m:t>r</m:t>
        </m:r>
        <m:r>
          <m:rPr>
            <m:sty m:val="p"/>
          </m:rPr>
          <m:t>&lt;</m:t>
        </m:r>
        <m:r>
          <m:t>0</m:t>
        </m:r>
      </m:oMath>
      <w:r>
        <w:t xml:space="preserve"> </w:t>
      </w:r>
      <w:r>
        <w:t xml:space="preserve">significa que las salidas medidas superan las entradas medidas. Eso no prueba creación de masa: puede reflejar incertidumbre, inventario descargado, desfase de periodos, corrientes omitidas o sesgo instrumental.</w:t>
      </w:r>
    </w:p>
    <w:bookmarkEnd w:id="58"/>
    <w:bookmarkStart w:id="60" w:name="propagación-de-incertidumbre"/>
    <w:p>
      <w:pPr>
        <w:pStyle w:val="Heading2"/>
      </w:pPr>
      <w:r>
        <w:t xml:space="preserve">Propagación de incertidumbre</w:t>
      </w:r>
    </w:p>
    <w:p>
      <w:pPr>
        <w:pStyle w:val="FirstParagraph"/>
      </w:pPr>
      <w:r>
        <w:t xml:space="preserve">Las mediciones no son exactas. Si los caudales son independientes y tienen incertidumbres estándar</w:t>
      </w:r>
      <w:r>
        <w:t xml:space="preserve"> </w:t>
      </w:r>
      <m:oMath>
        <m:sSub>
          <m:e>
            <m:r>
              <m:t>u</m:t>
            </m:r>
          </m:e>
          <m:sub>
            <m:r>
              <m:t>j</m:t>
            </m:r>
          </m:sub>
        </m:sSub>
      </m:oMath>
      <w:r>
        <w:t xml:space="preserve">, una aproximación lineal para el residual es</w:t>
      </w:r>
      <w:r>
        <w:t xml:space="preserve"> </w:t>
      </w:r>
      <w:r>
        <w:t xml:space="preserve">(Joint Committee for Guides in Metrology 2008)</w:t>
      </w:r>
      <w:r>
        <w:t xml:space="preserve">:</w:t>
      </w:r>
    </w:p>
    <w:p>
      <w:pPr>
        <w:pStyle w:val="BodyText"/>
      </w:pPr>
      <w:bookmarkStart w:id="59" w:name="eq-uncertainty"/>
      <m:oMathPara>
        <m:oMathParaPr>
          <m:jc m:val="center"/>
        </m:oMathParaPr>
        <m:oMath>
          <m:sSub>
            <m:e>
              <m:r>
                <m:t>u</m:t>
              </m:r>
            </m:e>
            <m:sub>
              <m:r>
                <m:t>r</m:t>
              </m:r>
            </m:sub>
          </m:sSub>
          <m:r>
            <m:rPr>
              <m:sty m:val="p"/>
            </m:rPr>
            <m:t>=</m:t>
          </m:r>
          <m:rad>
            <m:radPr>
              <m:degHide m:val="on"/>
            </m:radPr>
            <m:deg/>
            <m:e>
              <m:nary>
                <m:naryPr>
                  <m:chr m:val="∑"/>
                  <m:limLoc m:val="undOvr"/>
                  <m:subHide m:val="off"/>
                  <m:supHide m:val="on"/>
                </m:naryPr>
                <m:sub>
                  <m:r>
                    <m:t>j</m:t>
                  </m:r>
                </m:sub>
                <m:sup>
                  <m:r>
                    <m:t>​</m:t>
                  </m:r>
                </m:sup>
                <m:e>
                  <m:sSup>
                    <m:e>
                      <m:d>
                        <m:dPr>
                          <m:begChr m:val="("/>
                          <m:sepChr m:val=""/>
                          <m:endChr m:val=")"/>
                          <m:grow/>
                        </m:dPr>
                        <m:e>
                          <m:f>
                            <m:fPr>
                              <m:type m:val="bar"/>
                            </m:fPr>
                            <m:num>
                              <m:r>
                                <m:rPr>
                                  <m:sty m:val="p"/>
                                </m:rPr>
                                <m:t>∂</m:t>
                              </m:r>
                              <m:r>
                                <m:t>r</m:t>
                              </m:r>
                            </m:num>
                            <m:den>
                              <m:r>
                                <m:rPr>
                                  <m:sty m:val="p"/>
                                </m:rPr>
                                <m:t>∂</m:t>
                              </m:r>
                              <m:sSub>
                                <m:e>
                                  <m:acc>
                                    <m:accPr>
                                      <m:chr m:val="̇"/>
                                    </m:accPr>
                                    <m:e>
                                      <m:r>
                                        <m:t>m</m:t>
                                      </m:r>
                                    </m:e>
                                  </m:acc>
                                </m:e>
                                <m:sub>
                                  <m:r>
                                    <m:t>j</m:t>
                                  </m:r>
                                </m:sub>
                              </m:sSub>
                            </m:den>
                          </m:f>
                        </m:e>
                      </m:d>
                    </m:e>
                    <m:sup>
                      <m:r>
                        <m:t>2</m:t>
                      </m:r>
                    </m:sup>
                  </m:sSup>
                </m:e>
              </m:nary>
              <m:sSubSup>
                <m:e>
                  <m:r>
                    <m:t>u</m:t>
                  </m:r>
                </m:e>
                <m:sub>
                  <m:r>
                    <m:t>j</m:t>
                  </m:r>
                </m:sub>
                <m:sup>
                  <m:r>
                    <m:t>2</m:t>
                  </m:r>
                </m:sup>
              </m:sSubSup>
            </m:e>
          </m:rad>
          <m:r>
            <m:rPr>
              <m:sty m:val="p"/>
            </m:rPr>
            <m:t>.</m:t>
          </m:r>
          <m:r>
            <m:t>  </m:t>
          </m:r>
          <m:r>
            <m:rPr>
              <m:sty m:val="p"/>
            </m:rPr>
            <m:t>(</m:t>
          </m:r>
          <m:r>
            <m:t>16</m:t>
          </m:r>
          <m:r>
            <m:rPr>
              <m:sty m:val="p"/>
            </m:rPr>
            <m:t>)</m:t>
          </m:r>
        </m:oMath>
      </m:oMathPara>
      <w:bookmarkEnd w:id="59"/>
    </w:p>
    <w:p>
      <w:pPr>
        <w:pStyle w:val="FirstParagraph"/>
      </w:pPr>
      <w:r>
        <w:t xml:space="preserve">Para</w:t>
      </w:r>
      <w:r>
        <w:t xml:space="preserve"> </w:t>
      </w:r>
      <m:oMath>
        <m:r>
          <m:t>r</m:t>
        </m:r>
        <m:r>
          <m:rPr>
            <m:sty m:val="p"/>
          </m:rPr>
          <m:t>=</m:t>
        </m:r>
        <m:r>
          <m:t>F</m:t>
        </m:r>
        <m:r>
          <m:rPr>
            <m:sty m:val="p"/>
          </m:rPr>
          <m:t>−</m:t>
        </m:r>
        <m:r>
          <m:t>P</m:t>
        </m:r>
        <m:r>
          <m:rPr>
            <m:sty m:val="p"/>
          </m:rPr>
          <m:t>−</m:t>
        </m:r>
        <m:r>
          <m:t>L</m:t>
        </m:r>
      </m:oMath>
      <w:r>
        <w:t xml:space="preserve">, las derivadas son</w:t>
      </w:r>
      <w:r>
        <w:t xml:space="preserve"> </w:t>
      </w:r>
      <m:oMath>
        <m:r>
          <m:t>1</m:t>
        </m:r>
        <m:r>
          <m:rPr>
            <m:sty m:val="p"/>
          </m:rPr>
          <m:t>,</m:t>
        </m:r>
        <m:r>
          <m:rPr>
            <m:sty m:val="p"/>
          </m:rPr>
          <m:t>−</m:t>
        </m:r>
        <m:r>
          <m:t>1</m:t>
        </m:r>
        <m:r>
          <m:rPr>
            <m:sty m:val="p"/>
          </m:rPr>
          <m:t>,</m:t>
        </m:r>
        <m:r>
          <m:rPr>
            <m:sty m:val="p"/>
          </m:rPr>
          <m:t>−</m:t>
        </m:r>
        <m:r>
          <m:t>1</m:t>
        </m:r>
      </m:oMath>
      <w:r>
        <w:t xml:space="preserve">, y:</w:t>
      </w:r>
    </w:p>
    <w:p>
      <w:pPr>
        <w:pStyle w:val="BodyText"/>
      </w:pPr>
      <m:oMathPara>
        <m:oMathParaPr>
          <m:jc m:val="center"/>
        </m:oMathParaPr>
        <m:oMath>
          <m:sSub>
            <m:e>
              <m:r>
                <m:t>u</m:t>
              </m:r>
            </m:e>
            <m:sub>
              <m:r>
                <m:t>r</m:t>
              </m:r>
            </m:sub>
          </m:sSub>
          <m:r>
            <m:rPr>
              <m:sty m:val="p"/>
            </m:rPr>
            <m:t>=</m:t>
          </m:r>
          <m:rad>
            <m:radPr>
              <m:degHide m:val="on"/>
            </m:radPr>
            <m:deg/>
            <m:e>
              <m:sSubSup>
                <m:e>
                  <m:r>
                    <m:t>u</m:t>
                  </m:r>
                </m:e>
                <m:sub>
                  <m:r>
                    <m:t>F</m:t>
                  </m:r>
                </m:sub>
                <m:sup>
                  <m:r>
                    <m:t>2</m:t>
                  </m:r>
                </m:sup>
              </m:sSubSup>
              <m:r>
                <m:rPr>
                  <m:sty m:val="p"/>
                </m:rPr>
                <m:t>+</m:t>
              </m:r>
              <m:sSubSup>
                <m:e>
                  <m:r>
                    <m:t>u</m:t>
                  </m:r>
                </m:e>
                <m:sub>
                  <m:r>
                    <m:t>P</m:t>
                  </m:r>
                </m:sub>
                <m:sup>
                  <m:r>
                    <m:t>2</m:t>
                  </m:r>
                </m:sup>
              </m:sSubSup>
              <m:r>
                <m:rPr>
                  <m:sty m:val="p"/>
                </m:rPr>
                <m:t>+</m:t>
              </m:r>
              <m:sSubSup>
                <m:e>
                  <m:r>
                    <m:t>u</m:t>
                  </m:r>
                </m:e>
                <m:sub>
                  <m:r>
                    <m:t>L</m:t>
                  </m:r>
                </m:sub>
                <m:sup>
                  <m:r>
                    <m:t>2</m:t>
                  </m:r>
                </m:sup>
              </m:sSubSup>
            </m:e>
          </m:rad>
          <m:r>
            <m:rPr>
              <m:sty m:val="p"/>
            </m:rPr>
            <m:t>.</m:t>
          </m:r>
        </m:oMath>
      </m:oMathPara>
    </w:p>
    <w:p>
      <w:pPr>
        <w:pStyle w:val="FirstParagraph"/>
      </w:pPr>
      <w:r>
        <w:t xml:space="preserve">En el caso medido</w:t>
      </w:r>
      <w:r>
        <w:t xml:space="preserve"> </w:t>
      </w:r>
      <m:oMath>
        <m:r>
          <m:t>F</m:t>
        </m:r>
        <m:r>
          <m:rPr>
            <m:sty m:val="p"/>
          </m:rPr>
          <m:t>=</m:t>
        </m:r>
        <m:r>
          <m:t>1000</m:t>
        </m:r>
      </m:oMath>
      <w:r>
        <w:t xml:space="preserve">,</w:t>
      </w:r>
      <w:r>
        <w:t xml:space="preserve"> </w:t>
      </w:r>
      <m:oMath>
        <m:r>
          <m:t>P</m:t>
        </m:r>
        <m:r>
          <m:rPr>
            <m:sty m:val="p"/>
          </m:rPr>
          <m:t>=</m:t>
        </m:r>
        <m:r>
          <m:t>365</m:t>
        </m:r>
      </m:oMath>
      <w:r>
        <w:t xml:space="preserve"> </w:t>
      </w:r>
      <w:r>
        <w:t xml:space="preserve">y</w:t>
      </w:r>
      <w:r>
        <w:t xml:space="preserve"> </w:t>
      </w:r>
      <m:oMath>
        <m:r>
          <m:t>L</m:t>
        </m:r>
        <m:r>
          <m:rPr>
            <m:sty m:val="p"/>
          </m:rPr>
          <m:t>=</m:t>
        </m:r>
        <m:r>
          <m:t>650</m:t>
        </m:r>
        <m:r>
          <m:t> </m:t>
        </m:r>
        <m:r>
          <m:rPr>
            <m:sty m:val="p"/>
          </m:rPr>
          <m:t>k</m:t>
        </m:r>
        <m:r>
          <m:rPr>
            <m:sty m:val="p"/>
          </m:rPr>
          <m:t>g</m:t>
        </m:r>
        <m:r>
          <m:rPr>
            <m:sty m:val="p"/>
          </m:rPr>
          <m:t>/</m:t>
        </m:r>
        <m:r>
          <m:rPr>
            <m:sty m:val="p"/>
          </m:rPr>
          <m:t>h</m:t>
        </m:r>
      </m:oMath>
      <w:r>
        <w:t xml:space="preserve">, con</w:t>
      </w:r>
      <w:r>
        <w:t xml:space="preserve"> </w:t>
      </w:r>
      <m:oMath>
        <m:sSub>
          <m:e>
            <m:r>
              <m:t>u</m:t>
            </m:r>
          </m:e>
          <m:sub>
            <m:r>
              <m:t>F</m:t>
            </m:r>
          </m:sub>
        </m:sSub>
        <m:r>
          <m:rPr>
            <m:sty m:val="p"/>
          </m:rPr>
          <m:t>=</m:t>
        </m:r>
        <m:r>
          <m:t>10</m:t>
        </m:r>
      </m:oMath>
      <w:r>
        <w:t xml:space="preserve">,</w:t>
      </w:r>
      <w:r>
        <w:t xml:space="preserve"> </w:t>
      </w:r>
      <m:oMath>
        <m:sSub>
          <m:e>
            <m:r>
              <m:t>u</m:t>
            </m:r>
          </m:e>
          <m:sub>
            <m:r>
              <m:t>P</m:t>
            </m:r>
          </m:sub>
        </m:sSub>
        <m:r>
          <m:rPr>
            <m:sty m:val="p"/>
          </m:rPr>
          <m:t>=</m:t>
        </m:r>
        <m:r>
          <m:t>7</m:t>
        </m:r>
      </m:oMath>
      <w:r>
        <w:t xml:space="preserve"> </w:t>
      </w:r>
      <w:r>
        <w:t xml:space="preserve">y</w:t>
      </w:r>
      <w:r>
        <w:t xml:space="preserve"> </w:t>
      </w:r>
      <m:oMath>
        <m:sSub>
          <m:e>
            <m:r>
              <m:t>u</m:t>
            </m:r>
          </m:e>
          <m:sub>
            <m:r>
              <m:t>L</m:t>
            </m:r>
          </m:sub>
        </m:sSub>
        <m:r>
          <m:rPr>
            <m:sty m:val="p"/>
          </m:rPr>
          <m:t>=</m:t>
        </m:r>
        <m:r>
          <m:t>8</m:t>
        </m:r>
        <m:r>
          <m:t> </m:t>
        </m:r>
        <m:r>
          <m:rPr>
            <m:sty m:val="p"/>
          </m:rPr>
          <m:t>k</m:t>
        </m:r>
        <m:r>
          <m:rPr>
            <m:sty m:val="p"/>
          </m:rPr>
          <m:t>g</m:t>
        </m:r>
        <m:r>
          <m:rPr>
            <m:sty m:val="p"/>
          </m:rPr>
          <m:t>/</m:t>
        </m:r>
        <m:r>
          <m:rPr>
            <m:sty m:val="p"/>
          </m:rPr>
          <m:t>h</m:t>
        </m:r>
      </m:oMath>
      <w:r>
        <w:t xml:space="preserve">:</w:t>
      </w:r>
    </w:p>
    <w:p>
      <w:pPr>
        <w:pStyle w:val="BodyText"/>
      </w:pPr>
      <m:oMathPara>
        <m:oMathParaPr>
          <m:jc m:val="center"/>
        </m:oMathParaPr>
        <m:oMath>
          <m:r>
            <m:t>r</m:t>
          </m:r>
          <m:r>
            <m:rPr>
              <m:sty m:val="p"/>
            </m:rPr>
            <m:t>=</m:t>
          </m:r>
          <m:r>
            <m:rPr>
              <m:sty m:val="p"/>
            </m:rPr>
            <m:t>−</m:t>
          </m:r>
          <m:r>
            <m:t>15.0</m:t>
          </m:r>
          <m:r>
            <m:t> </m:t>
          </m:r>
          <m:r>
            <m:rPr>
              <m:sty m:val="p"/>
            </m:rPr>
            <m:t>k</m:t>
          </m:r>
          <m:r>
            <m:rPr>
              <m:sty m:val="p"/>
            </m:rPr>
            <m:t>g</m:t>
          </m:r>
          <m:r>
            <m:rPr>
              <m:sty m:val="p"/>
            </m:rPr>
            <m:t>/</m:t>
          </m:r>
          <m:r>
            <m:rPr>
              <m:sty m:val="p"/>
            </m:rPr>
            <m:t>h</m:t>
          </m:r>
          <m:r>
            <m:rPr>
              <m:sty m:val="p"/>
            </m:rPr>
            <m:t>,</m:t>
          </m:r>
          <m:r>
            <m:t>  </m:t>
          </m:r>
          <m:sSub>
            <m:e>
              <m:r>
                <m:t>u</m:t>
              </m:r>
            </m:e>
            <m:sub>
              <m:r>
                <m:t>r</m:t>
              </m:r>
            </m:sub>
          </m:sSub>
          <m:r>
            <m:rPr>
              <m:sty m:val="p"/>
            </m:rPr>
            <m:t>=</m:t>
          </m:r>
          <m:r>
            <m:t>14.5945</m:t>
          </m:r>
          <m:r>
            <m:t> </m:t>
          </m:r>
          <m:r>
            <m:rPr>
              <m:sty m:val="p"/>
            </m:rPr>
            <m:t>k</m:t>
          </m:r>
          <m:r>
            <m:rPr>
              <m:sty m:val="p"/>
            </m:rPr>
            <m:t>g</m:t>
          </m:r>
          <m:r>
            <m:rPr>
              <m:sty m:val="p"/>
            </m:rPr>
            <m:t>/</m:t>
          </m:r>
          <m:r>
            <m:rPr>
              <m:sty m:val="p"/>
            </m:rPr>
            <m:t>h</m:t>
          </m:r>
          <m:r>
            <m:rPr>
              <m:sty m:val="p"/>
            </m:rPr>
            <m:t>,</m:t>
          </m:r>
          <m:r>
            <m:t>  </m:t>
          </m:r>
          <m:r>
            <m:t>z</m:t>
          </m:r>
          <m:r>
            <m:rPr>
              <m:sty m:val="p"/>
            </m:rPr>
            <m:t>=</m:t>
          </m:r>
          <m:r>
            <m:t>r</m:t>
          </m:r>
          <m:r>
            <m:rPr>
              <m:sty m:val="p"/>
            </m:rPr>
            <m:t>/</m:t>
          </m:r>
          <m:sSub>
            <m:e>
              <m:r>
                <m:t>u</m:t>
              </m:r>
            </m:e>
            <m:sub>
              <m:r>
                <m:t>r</m:t>
              </m:r>
            </m:sub>
          </m:sSub>
          <m:r>
            <m:rPr>
              <m:sty m:val="p"/>
            </m:rPr>
            <m:t>=</m:t>
          </m:r>
          <m:r>
            <m:rPr>
              <m:sty m:val="p"/>
            </m:rPr>
            <m:t>−</m:t>
          </m:r>
          <m:r>
            <m:t>1.028</m:t>
          </m:r>
          <m:r>
            <m:rPr>
              <m:sty m:val="p"/>
            </m:rPr>
            <m:t>.</m:t>
          </m:r>
        </m:oMath>
      </m:oMathPara>
    </w:p>
    <w:p>
      <w:pPr>
        <w:pStyle w:val="FirstParagraph"/>
      </w:pPr>
      <w:r>
        <w:t xml:space="preserve">El residual es distinto de cero, pero su magnitud es cercana a una incertidumbre estándar. No existe base para declarar automáticamente una fuga. Tampoco significa que el sistema sea perfecto: el análisis solo indica que el desbalance es plausible bajo el modelo de incertidumbre asumido.</w:t>
      </w:r>
    </w:p>
    <w:p>
      <w:pPr>
        <w:pStyle w:val="BodyText"/>
      </w:pPr>
      <w:r>
        <w:t xml:space="preserve">Correlaciones, sesgos comunes y errores de composición requieren términos de covarianza. Tratar mediciones correlacionadas como independientes puede subestimar o sobreestimar la incertidumbre del cierre.</w:t>
      </w:r>
    </w:p>
    <w:bookmarkEnd w:id="60"/>
    <w:bookmarkEnd w:id="61"/>
    <w:bookmarkStart w:id="67" w:name="reconciliación-conceptual-de-datos"/>
    <w:p>
      <w:pPr>
        <w:pStyle w:val="Heading1"/>
      </w:pPr>
      <w:r>
        <w:t xml:space="preserve">Reconciliación conceptual de datos</w:t>
      </w:r>
    </w:p>
    <w:p>
      <w:pPr>
        <w:pStyle w:val="FirstParagraph"/>
      </w:pPr>
      <w:r>
        <w:t xml:space="preserve">Cuando existen mediciones redundantes, la</w:t>
      </w:r>
      <w:r>
        <w:t xml:space="preserve"> </w:t>
      </w:r>
      <w:r>
        <w:rPr>
          <w:b/>
          <w:bCs/>
        </w:rPr>
        <w:t xml:space="preserve">reconciliación de datos</w:t>
      </w:r>
      <w:r>
        <w:t xml:space="preserve"> </w:t>
      </w:r>
      <w:r>
        <w:t xml:space="preserve">busca valores ajustados que satisfagan las restricciones físicas y se aparten lo menos posible de las mediciones, ponderando su confiabilidad</w:t>
      </w:r>
      <w:r>
        <w:t xml:space="preserve"> </w:t>
      </w:r>
      <w:r>
        <w:t xml:space="preserve">(Tamhane y Mah 1985)</w:t>
      </w:r>
      <w:r>
        <w:t xml:space="preserve">. No consiste en “forzar” números para ocultar un error; consiste en distinguir el mejor estimado compatible con conservación bajo un modelo de incertidumbre explícito.</w:t>
      </w:r>
    </w:p>
    <w:p>
      <w:pPr>
        <w:pStyle w:val="BodyText"/>
      </w:pPr>
      <w:r>
        <w:t xml:space="preserve">Para el vector medido</w:t>
      </w:r>
      <w:r>
        <w:t xml:space="preserve"> </w:t>
      </w:r>
      <m:oMath>
        <m:r>
          <m:rPr>
            <m:sty m:val="bi"/>
          </m:rPr>
          <m:t>y</m:t>
        </m:r>
        <m:r>
          <m:rPr>
            <m:sty m:val="p"/>
          </m:rPr>
          <m:t>=</m:t>
        </m:r>
        <m:r>
          <m:rPr>
            <m:sty m:val="p"/>
          </m:rPr>
          <m:t>[</m:t>
        </m:r>
        <m:r>
          <m:t>F</m:t>
        </m:r>
        <m:r>
          <m:rPr>
            <m:sty m:val="p"/>
          </m:rPr>
          <m:t>,</m:t>
        </m:r>
        <m:r>
          <m:t>P</m:t>
        </m:r>
        <m:r>
          <m:rPr>
            <m:sty m:val="p"/>
          </m:rPr>
          <m:t>,</m:t>
        </m:r>
        <m:r>
          <m:t>L</m:t>
        </m:r>
        <m:sSup>
          <m:e>
            <m:r>
              <m:rPr>
                <m:sty m:val="p"/>
              </m:rPr>
              <m:t>]</m:t>
            </m:r>
          </m:e>
          <m:sup>
            <m:r>
              <m:t>T</m:t>
            </m:r>
          </m:sup>
        </m:sSup>
      </m:oMath>
      <w:r>
        <w:t xml:space="preserve">, la restricción lineal es</w:t>
      </w:r>
      <w:r>
        <w:t xml:space="preserve"> </w:t>
      </w:r>
      <m:oMath>
        <m:r>
          <m:rPr>
            <m:sty m:val="bi"/>
          </m:rPr>
          <m:t>A</m:t>
        </m:r>
        <m:sSup>
          <m:e>
            <m:r>
              <m:rPr>
                <m:sty m:val="bi"/>
              </m:rPr>
              <m:t>y</m:t>
            </m:r>
          </m:e>
          <m:sup>
            <m:r>
              <m:rPr>
                <m:sty m:val="p"/>
              </m:rPr>
              <m:t>*</m:t>
            </m:r>
          </m:sup>
        </m:sSup>
        <m:r>
          <m:rPr>
            <m:sty m:val="p"/>
          </m:rPr>
          <m:t>=</m:t>
        </m:r>
        <m:r>
          <m:t>0</m:t>
        </m:r>
      </m:oMath>
      <w:r>
        <w:t xml:space="preserve">, con</w:t>
      </w:r>
      <w:r>
        <w:t xml:space="preserve"> </w:t>
      </w:r>
      <m:oMath>
        <m:r>
          <m:rPr>
            <m:sty m:val="bi"/>
          </m:rPr>
          <m:t>A</m:t>
        </m:r>
        <m:r>
          <m:rPr>
            <m:sty m:val="p"/>
          </m:rPr>
          <m:t>=</m:t>
        </m:r>
        <m:r>
          <m:rPr>
            <m:sty m:val="p"/>
          </m:rPr>
          <m:t>[</m:t>
        </m:r>
        <m:r>
          <m:t>1</m:t>
        </m:r>
        <m:r>
          <m:rPr>
            <m:sty m:val="p"/>
          </m:rPr>
          <m:t>,</m:t>
        </m:r>
        <m:r>
          <m:rPr>
            <m:sty m:val="p"/>
          </m:rPr>
          <m:t>−</m:t>
        </m:r>
        <m:r>
          <m:t>1</m:t>
        </m:r>
        <m:r>
          <m:rPr>
            <m:sty m:val="p"/>
          </m:rPr>
          <m:t>,</m:t>
        </m:r>
        <m:r>
          <m:rPr>
            <m:sty m:val="p"/>
          </m:rPr>
          <m:t>−</m:t>
        </m:r>
        <m:r>
          <m:t>1</m:t>
        </m:r>
        <m:r>
          <m:rPr>
            <m:sty m:val="p"/>
          </m:rPr>
          <m:t>]</m:t>
        </m:r>
      </m:oMath>
      <w:r>
        <w:t xml:space="preserve">. Si</w:t>
      </w:r>
      <w:r>
        <w:t xml:space="preserve"> </w:t>
      </w:r>
      <m:oMath>
        <m:r>
          <m:rPr>
            <m:sty m:val="b"/>
          </m:rPr>
          <m:t>Σ</m:t>
        </m:r>
      </m:oMath>
      <w:r>
        <w:t xml:space="preserve"> </w:t>
      </w:r>
      <w:r>
        <w:t xml:space="preserve">es la matriz de covarianza, la solución ponderada es:</w:t>
      </w:r>
    </w:p>
    <w:p>
      <w:pPr>
        <w:pStyle w:val="BodyText"/>
      </w:pPr>
      <w:bookmarkStart w:id="62" w:name="eq-reconciliation"/>
      <m:oMathPara>
        <m:oMathParaPr>
          <m:jc m:val="center"/>
        </m:oMathParaPr>
        <m:oMath>
          <m:sSup>
            <m:e>
              <m:r>
                <m:rPr>
                  <m:sty m:val="bi"/>
                </m:rPr>
                <m:t>y</m:t>
              </m:r>
            </m:e>
            <m:sup>
              <m:r>
                <m:rPr>
                  <m:sty m:val="p"/>
                </m:rPr>
                <m:t>*</m:t>
              </m:r>
            </m:sup>
          </m:sSup>
          <m:r>
            <m:rPr>
              <m:sty m:val="p"/>
            </m:rPr>
            <m:t>=</m:t>
          </m:r>
          <m:r>
            <m:rPr>
              <m:sty m:val="bi"/>
            </m:rPr>
            <m:t>y</m:t>
          </m:r>
          <m:r>
            <m:rPr>
              <m:sty m:val="p"/>
            </m:rPr>
            <m:t>−</m:t>
          </m:r>
          <m:r>
            <m:rPr>
              <m:sty m:val="b"/>
            </m:rPr>
            <m:t>Σ</m:t>
          </m:r>
          <m:sSup>
            <m:e>
              <m:r>
                <m:rPr>
                  <m:sty m:val="bi"/>
                </m:rPr>
                <m:t>A</m:t>
              </m:r>
            </m:e>
            <m:sup>
              <m:r>
                <m:t>T</m:t>
              </m:r>
            </m:sup>
          </m:sSup>
          <m:sSup>
            <m:e>
              <m:d>
                <m:dPr>
                  <m:begChr m:val="("/>
                  <m:sepChr m:val=""/>
                  <m:endChr m:val=")"/>
                  <m:grow/>
                </m:dPr>
                <m:e>
                  <m:r>
                    <m:rPr>
                      <m:sty m:val="bi"/>
                    </m:rPr>
                    <m:t>A</m:t>
                  </m:r>
                  <m:r>
                    <m:rPr>
                      <m:sty m:val="b"/>
                    </m:rPr>
                    <m:t>Σ</m:t>
                  </m:r>
                  <m:sSup>
                    <m:e>
                      <m:r>
                        <m:rPr>
                          <m:sty m:val="bi"/>
                        </m:rPr>
                        <m:t>A</m:t>
                      </m:r>
                    </m:e>
                    <m:sup>
                      <m:r>
                        <m:t>T</m:t>
                      </m:r>
                    </m:sup>
                  </m:sSup>
                </m:e>
              </m:d>
            </m:e>
            <m:sup>
              <m:r>
                <m:rPr>
                  <m:sty m:val="p"/>
                </m:rPr>
                <m:t>−</m:t>
              </m:r>
              <m:r>
                <m:t>1</m:t>
              </m:r>
            </m:sup>
          </m:sSup>
          <m:r>
            <m:rPr>
              <m:sty m:val="bi"/>
            </m:rPr>
            <m:t>A</m:t>
          </m:r>
          <m:r>
            <m:rPr>
              <m:sty m:val="bi"/>
            </m:rPr>
            <m:t>y</m:t>
          </m:r>
          <m:r>
            <m:rPr>
              <m:sty m:val="p"/>
            </m:rPr>
            <m:t>.</m:t>
          </m:r>
          <m:r>
            <m:t>  </m:t>
          </m:r>
          <m:r>
            <m:rPr>
              <m:sty m:val="p"/>
            </m:rPr>
            <m:t>(</m:t>
          </m:r>
          <m:r>
            <m:t>17</m:t>
          </m:r>
          <m:r>
            <m:rPr>
              <m:sty m:val="p"/>
            </m:rPr>
            <m:t>)</m:t>
          </m:r>
        </m:oMath>
      </m:oMathPara>
      <w:bookmarkEnd w:id="62"/>
    </w:p>
    <w:tbl>
      <w:tblPr>
        <w:tblStyle w:val="Table"/>
        <w:tblW w:type="pct" w:w="5000"/>
        <w:tblLayout w:type="fixed"/>
        <w:tblLook w:firstRow="0" w:lastRow="0" w:firstColumn="0" w:lastColumn="0" w:noHBand="0" w:noVBand="0" w:val="0000"/>
      </w:tblPr>
      <w:tblGrid>
        <w:gridCol w:w="7920"/>
      </w:tblGrid>
      <w:tr>
        <w:tc>
          <w:tcPr/>
          <w:bookmarkStart w:id="66" w:name="fig-reconciliation"/>
          <w:p>
            <w:pPr>
              <w:pStyle w:val="Compact"/>
              <w:jc w:val="center"/>
            </w:pPr>
            <w:r>
              <w:drawing>
                <wp:inline>
                  <wp:extent cx="4693920" cy="3081603"/>
                  <wp:effectExtent b="0" l="0" r="0" t="0"/>
                  <wp:docPr descr="" title="" id="64" name="Picture"/>
                  <a:graphic>
                    <a:graphicData uri="http://schemas.openxmlformats.org/drawingml/2006/picture">
                      <pic:pic>
                        <pic:nvPicPr>
                          <pic:cNvPr descr="../../../assets/NS-SBTP-PSF-001-v2.0/fig05_reconciliation.png" id="65" name="Picture"/>
                          <pic:cNvPicPr>
                            <a:picLocks noChangeArrowheads="1" noChangeAspect="1"/>
                          </pic:cNvPicPr>
                        </pic:nvPicPr>
                        <pic:blipFill>
                          <a:blip r:embed="rId63"/>
                          <a:stretch>
                            <a:fillRect/>
                          </a:stretch>
                        </pic:blipFill>
                        <pic:spPr bwMode="auto">
                          <a:xfrm>
                            <a:off x="0" y="0"/>
                            <a:ext cx="4693920" cy="3081603"/>
                          </a:xfrm>
                          <a:prstGeom prst="rect">
                            <a:avLst/>
                          </a:prstGeom>
                          <a:noFill/>
                          <a:ln w="9525">
                            <a:noFill/>
                            <a:headEnd/>
                            <a:tailEnd/>
                          </a:ln>
                        </pic:spPr>
                      </pic:pic>
                    </a:graphicData>
                  </a:graphic>
                </wp:inline>
              </w:drawing>
            </w:r>
          </w:p>
          <w:p>
            <w:pPr>
              <w:jc w:val="center"/>
            </w:pPr>
            <w:pPr>
              <w:jc w:val="left"/>
              <w:spacing w:before="200"/>
              <w:pStyle w:val="ImageCaption"/>
            </w:pPr>
            <w:r>
              <w:t xml:space="preserve">Figura 5: Mediciones y valores reconciliados. Las barras de error representan incertidumbres estándar del caso pedagógico.</w:t>
            </w:r>
          </w:p>
          <w:bookmarkEnd w:id="66"/>
        </w:tc>
      </w:tr>
    </w:tbl>
    <w:p>
      <w:pPr>
        <w:pStyle w:val="BodyText"/>
      </w:pPr>
      <w:r>
        <w:t xml:space="preserve">El resultado es</w:t>
      </w:r>
      <w:r>
        <w:t xml:space="preserve"> </w:t>
      </w:r>
      <m:oMath>
        <m:sSup>
          <m:e>
            <m:r>
              <m:t>F</m:t>
            </m:r>
          </m:e>
          <m:sup>
            <m:r>
              <m:rPr>
                <m:sty m:val="p"/>
              </m:rPr>
              <m:t>*</m:t>
            </m:r>
          </m:sup>
        </m:sSup>
        <m:r>
          <m:rPr>
            <m:sty m:val="p"/>
          </m:rPr>
          <m:t>=</m:t>
        </m:r>
        <m:r>
          <m:t>1007.0423</m:t>
        </m:r>
      </m:oMath>
      <w:r>
        <w:t xml:space="preserve">,</w:t>
      </w:r>
      <w:r>
        <w:t xml:space="preserve"> </w:t>
      </w:r>
      <m:oMath>
        <m:sSup>
          <m:e>
            <m:r>
              <m:t>P</m:t>
            </m:r>
          </m:e>
          <m:sup>
            <m:r>
              <m:rPr>
                <m:sty m:val="p"/>
              </m:rPr>
              <m:t>*</m:t>
            </m:r>
          </m:sup>
        </m:sSup>
        <m:r>
          <m:rPr>
            <m:sty m:val="p"/>
          </m:rPr>
          <m:t>=</m:t>
        </m:r>
        <m:r>
          <m:t>361.5493</m:t>
        </m:r>
      </m:oMath>
      <w:r>
        <w:t xml:space="preserve"> </w:t>
      </w:r>
      <w:r>
        <w:t xml:space="preserve">y</w:t>
      </w:r>
      <w:r>
        <w:t xml:space="preserve"> </w:t>
      </w:r>
      <m:oMath>
        <m:sSup>
          <m:e>
            <m:r>
              <m:t>L</m:t>
            </m:r>
          </m:e>
          <m:sup>
            <m:r>
              <m:rPr>
                <m:sty m:val="p"/>
              </m:rPr>
              <m:t>*</m:t>
            </m:r>
          </m:sup>
        </m:sSup>
        <m:r>
          <m:rPr>
            <m:sty m:val="p"/>
          </m:rPr>
          <m:t>=</m:t>
        </m:r>
        <m:r>
          <m:t>645.4930</m:t>
        </m:r>
        <m:r>
          <m:t> </m:t>
        </m:r>
        <m:r>
          <m:rPr>
            <m:sty m:val="p"/>
          </m:rPr>
          <m:t>k</m:t>
        </m:r>
        <m:r>
          <m:rPr>
            <m:sty m:val="p"/>
          </m:rPr>
          <m:t>g</m:t>
        </m:r>
        <m:r>
          <m:rPr>
            <m:sty m:val="p"/>
          </m:rPr>
          <m:t>/</m:t>
        </m:r>
        <m:r>
          <m:rPr>
            <m:sty m:val="p"/>
          </m:rPr>
          <m:t>h</m:t>
        </m:r>
      </m:oMath>
      <w:r>
        <w:t xml:space="preserve">, con residual numérico cero. El caudal con mayor incertidumbre absoluta,</w:t>
      </w:r>
      <w:r>
        <w:t xml:space="preserve"> </w:t>
      </w:r>
      <m:oMath>
        <m:r>
          <m:t>F</m:t>
        </m:r>
      </m:oMath>
      <w:r>
        <w:t xml:space="preserve">, recibe el mayor ajuste. Esto es coherente con la ponderación: una medición menos precisa puede moverse más que una más precisa.</w:t>
      </w:r>
    </w:p>
    <w:p>
      <w:pPr>
        <w:pStyle w:val="BodyText"/>
      </w:pPr>
      <w:r>
        <w:t xml:space="preserve">La reconciliación no corrige un modelo incompleto. Si falta una corriente real, imponer</w:t>
      </w:r>
      <w:r>
        <w:t xml:space="preserve"> </w:t>
      </w:r>
      <m:oMath>
        <m:r>
          <m:t>F</m:t>
        </m:r>
        <m:r>
          <m:rPr>
            <m:sty m:val="p"/>
          </m:rPr>
          <m:t>−</m:t>
        </m:r>
        <m:r>
          <m:t>P</m:t>
        </m:r>
        <m:r>
          <m:rPr>
            <m:sty m:val="p"/>
          </m:rPr>
          <m:t>−</m:t>
        </m:r>
        <m:r>
          <m:t>L</m:t>
        </m:r>
        <m:r>
          <m:rPr>
            <m:sty m:val="p"/>
          </m:rPr>
          <m:t>=</m:t>
        </m:r>
        <m:r>
          <m:t>0</m:t>
        </m:r>
      </m:oMath>
      <w:r>
        <w:t xml:space="preserve"> </w:t>
      </w:r>
      <w:r>
        <w:t xml:space="preserve">redistribuye artificialmente esa masa entre instrumentos. Antes de reconciliar deben validarse frontera, régimen, inventario y topología. La detección de errores gruesos y la reconciliación son problemas relacionados, pero no idénticos.</w:t>
      </w:r>
    </w:p>
    <w:bookmarkEnd w:id="67"/>
    <w:bookmarkStart w:id="68" w:name="patrones-de-diagnóstico"/>
    <w:p>
      <w:pPr>
        <w:pStyle w:val="Heading1"/>
      </w:pPr>
      <w:r>
        <w:t xml:space="preserve">Patrones de diagnóstico</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Patrón observado</w:t>
            </w:r>
          </w:p>
        </w:tc>
        <w:tc>
          <w:tcPr/>
          <w:p>
            <w:pPr>
              <w:pStyle w:val="Compact"/>
            </w:pPr>
            <w:r>
              <w:t xml:space="preserve">Hipótesis posibles</w:t>
            </w:r>
          </w:p>
        </w:tc>
        <w:tc>
          <w:tcPr/>
          <w:p>
            <w:pPr>
              <w:pStyle w:val="Compact"/>
            </w:pPr>
            <w:r>
              <w:t xml:space="preserve">Comprobación útil</w:t>
            </w:r>
          </w:p>
        </w:tc>
      </w:tr>
      <w:tr>
        <w:tc>
          <w:tcPr/>
          <w:p>
            <w:pPr>
              <w:pStyle w:val="Compact"/>
            </w:pPr>
            <w:r>
              <w:t xml:space="preserve">residual constante con el mismo signo</w:t>
            </w:r>
          </w:p>
        </w:tc>
        <w:tc>
          <w:tcPr/>
          <w:p>
            <w:pPr>
              <w:pStyle w:val="Compact"/>
            </w:pPr>
            <w:r>
              <w:t xml:space="preserve">sesgo de instrumento, corriente omitida</w:t>
            </w:r>
          </w:p>
        </w:tc>
        <w:tc>
          <w:tcPr/>
          <w:p>
            <w:pPr>
              <w:pStyle w:val="Compact"/>
            </w:pPr>
            <w:r>
              <w:t xml:space="preserve">contraste con patrón o medición independiente</w:t>
            </w:r>
          </w:p>
        </w:tc>
      </w:tr>
      <w:tr>
        <w:tc>
          <w:tcPr/>
          <w:p>
            <w:pPr>
              <w:pStyle w:val="Compact"/>
            </w:pPr>
            <w:r>
              <w:t xml:space="preserve">residual cambia con el nivel de un tanque</w:t>
            </w:r>
          </w:p>
        </w:tc>
        <w:tc>
          <w:tcPr/>
          <w:p>
            <w:pPr>
              <w:pStyle w:val="Compact"/>
            </w:pPr>
            <w:r>
              <w:t xml:space="preserve">acumulación no modelada</w:t>
            </w:r>
          </w:p>
        </w:tc>
        <w:tc>
          <w:tcPr/>
          <w:p>
            <w:pPr>
              <w:pStyle w:val="Compact"/>
            </w:pPr>
            <w:r>
              <w:t xml:space="preserve">incluir inventario inicial y final</w:t>
            </w:r>
          </w:p>
        </w:tc>
      </w:tr>
      <w:tr>
        <w:tc>
          <w:tcPr/>
          <w:p>
            <w:pPr>
              <w:pStyle w:val="Compact"/>
            </w:pPr>
            <w:r>
              <w:t xml:space="preserve">cierre total bueno, componente malo</w:t>
            </w:r>
          </w:p>
        </w:tc>
        <w:tc>
          <w:tcPr/>
          <w:p>
            <w:pPr>
              <w:pStyle w:val="Compact"/>
            </w:pPr>
            <w:r>
              <w:t xml:space="preserve">muestreo/composición, reacción o segregación</w:t>
            </w:r>
          </w:p>
        </w:tc>
        <w:tc>
          <w:tcPr/>
          <w:p>
            <w:pPr>
              <w:pStyle w:val="Compact"/>
            </w:pPr>
            <w:r>
              <w:t xml:space="preserve">sincronizar muestras y revisar base analítica</w:t>
            </w:r>
          </w:p>
        </w:tc>
      </w:tr>
      <w:tr>
        <w:tc>
          <w:tcPr/>
          <w:p>
            <w:pPr>
              <w:pStyle w:val="Compact"/>
            </w:pPr>
            <w:r>
              <w:t xml:space="preserve">picos durante arranque o cambio de lote</w:t>
            </w:r>
          </w:p>
        </w:tc>
        <w:tc>
          <w:tcPr/>
          <w:p>
            <w:pPr>
              <w:pStyle w:val="Compact"/>
            </w:pPr>
            <w:r>
              <w:t xml:space="preserve">régimen transitorio</w:t>
            </w:r>
          </w:p>
        </w:tc>
        <w:tc>
          <w:tcPr/>
          <w:p>
            <w:pPr>
              <w:pStyle w:val="Compact"/>
            </w:pPr>
            <w:r>
              <w:t xml:space="preserve">usar forma integral y ventana coherente</w:t>
            </w:r>
          </w:p>
        </w:tc>
      </w:tr>
      <w:tr>
        <w:tc>
          <w:tcPr/>
          <w:p>
            <w:pPr>
              <w:pStyle w:val="Compact"/>
            </w:pPr>
            <w:r>
              <w:t xml:space="preserve">error aumenta al acercarse composiciones</w:t>
            </w:r>
          </w:p>
        </w:tc>
        <w:tc>
          <w:tcPr/>
          <w:p>
            <w:pPr>
              <w:pStyle w:val="Compact"/>
            </w:pPr>
            <w:r>
              <w:t xml:space="preserve">mala condición matemática</w:t>
            </w:r>
          </w:p>
        </w:tc>
        <w:tc>
          <w:tcPr/>
          <w:p>
            <w:pPr>
              <w:pStyle w:val="Compact"/>
            </w:pPr>
            <w:r>
              <w:t xml:space="preserve">análisis de sensibilidad y mejor precisión analítica</w:t>
            </w:r>
          </w:p>
        </w:tc>
      </w:tr>
      <w:tr>
        <w:tc>
          <w:tcPr/>
          <w:p>
            <w:pPr>
              <w:pStyle w:val="Compact"/>
            </w:pPr>
            <w:r>
              <w:t xml:space="preserve">reconciliación exige ajustes extremos</w:t>
            </w:r>
          </w:p>
        </w:tc>
        <w:tc>
          <w:tcPr/>
          <w:p>
            <w:pPr>
              <w:pStyle w:val="Compact"/>
            </w:pPr>
            <w:r>
              <w:t xml:space="preserve">error grueso o topología incorrecta</w:t>
            </w:r>
          </w:p>
        </w:tc>
        <w:tc>
          <w:tcPr/>
          <w:p>
            <w:pPr>
              <w:pStyle w:val="Compact"/>
            </w:pPr>
            <w:r>
              <w:t xml:space="preserve">prueba de consistencia antes de aceptar valores</w:t>
            </w:r>
          </w:p>
        </w:tc>
      </w:tr>
    </w:tbl>
    <w:p>
      <w:pPr>
        <w:pStyle w:val="BodyText"/>
      </w:pPr>
      <w:r>
        <w:t xml:space="preserve">Un límite de aceptación fijo —por ejemplo ±1%— puede ser práctico, pero no universal. Un 1% puede ser irrelevante frente a la incertidumbre de un sistema y crítico en otro. El criterio debe relacionarse con la magnitud, la incertidumbre, el tiempo, el riesgo y el uso previsto del balance.</w:t>
      </w:r>
    </w:p>
    <w:bookmarkEnd w:id="68"/>
    <w:bookmarkStart w:id="69" w:name="X557713983a8265afb611cc4bade2471b7cb9958"/>
    <w:p>
      <w:pPr>
        <w:pStyle w:val="Heading1"/>
      </w:pPr>
      <w:r>
        <w:t xml:space="preserve">Del balance físico a la trazabilidad digital</w:t>
      </w:r>
    </w:p>
    <w:p>
      <w:pPr>
        <w:pStyle w:val="FirstParagraph"/>
      </w:pPr>
      <w:r>
        <w:t xml:space="preserve">La trazabilidad registra identidades y eventos; el balance de masa verifica cantidades. Para conectarlos, cada evento de transformación necesita al menos:</w:t>
      </w:r>
    </w:p>
    <w:p>
      <w:pPr>
        <w:pStyle w:val="Compact"/>
        <w:numPr>
          <w:ilvl w:val="0"/>
          <w:numId w:val="1004"/>
        </w:numPr>
      </w:pPr>
      <w:r>
        <w:t xml:space="preserve">identificador de lote o corriente;</w:t>
      </w:r>
    </w:p>
    <w:p>
      <w:pPr>
        <w:pStyle w:val="Compact"/>
        <w:numPr>
          <w:ilvl w:val="0"/>
          <w:numId w:val="1004"/>
        </w:numPr>
      </w:pPr>
      <w:r>
        <w:t xml:space="preserve">cantidad y unidad;</w:t>
      </w:r>
    </w:p>
    <w:p>
      <w:pPr>
        <w:pStyle w:val="Compact"/>
        <w:numPr>
          <w:ilvl w:val="0"/>
          <w:numId w:val="1004"/>
        </w:numPr>
      </w:pPr>
      <w:r>
        <w:t xml:space="preserve">tiempo o intervalo;</w:t>
      </w:r>
    </w:p>
    <w:p>
      <w:pPr>
        <w:pStyle w:val="Compact"/>
        <w:numPr>
          <w:ilvl w:val="0"/>
          <w:numId w:val="1004"/>
        </w:numPr>
      </w:pPr>
      <w:r>
        <w:t xml:space="preserve">composición o atributo pertinente;</w:t>
      </w:r>
    </w:p>
    <w:p>
      <w:pPr>
        <w:pStyle w:val="Compact"/>
        <w:numPr>
          <w:ilvl w:val="0"/>
          <w:numId w:val="1004"/>
        </w:numPr>
      </w:pPr>
      <w:r>
        <w:t xml:space="preserve">equipo, ubicación y frontera;</w:t>
      </w:r>
    </w:p>
    <w:p>
      <w:pPr>
        <w:pStyle w:val="Compact"/>
        <w:numPr>
          <w:ilvl w:val="0"/>
          <w:numId w:val="1004"/>
        </w:numPr>
      </w:pPr>
      <w:r>
        <w:t xml:space="preserve">relación entre entradas, salidas e inventarios;</w:t>
      </w:r>
    </w:p>
    <w:p>
      <w:pPr>
        <w:pStyle w:val="Compact"/>
        <w:numPr>
          <w:ilvl w:val="0"/>
          <w:numId w:val="1004"/>
        </w:numPr>
      </w:pPr>
      <w:r>
        <w:t xml:space="preserve">estado de la medición, incertidumbre y procedencia;</w:t>
      </w:r>
    </w:p>
    <w:p>
      <w:pPr>
        <w:pStyle w:val="Compact"/>
        <w:numPr>
          <w:ilvl w:val="0"/>
          <w:numId w:val="1004"/>
        </w:numPr>
      </w:pPr>
      <w:r>
        <w:t xml:space="preserve">regla de conversión cuando cambia la base.</w:t>
      </w:r>
    </w:p>
    <w:p>
      <w:pPr>
        <w:pStyle w:val="FirstParagraph"/>
      </w:pPr>
      <w:r>
        <w:t xml:space="preserve">Una cadena digital puede ser cronológicamente completa y físicamente imposible. Por ejemplo, registrar 1,050 kg de productos a partir de 1,000 kg de entradas sin inventario descargado ni corriente adicional conserva eventos, pero no conserva materia. Inversamente, un balance global puede cerrar y ocultar que se intercambiaron identidades de lotes. La trazabilidad robusta requiere ambas condiciones:</w:t>
      </w:r>
      <w:r>
        <w:t xml:space="preserve"> </w:t>
      </w:r>
      <w:r>
        <w:rPr>
          <w:b/>
          <w:bCs/>
        </w:rPr>
        <w:t xml:space="preserve">continuidad de identidad y continuidad cuantitativa</w:t>
      </w:r>
      <w:r>
        <w:t xml:space="preserve">.</w:t>
      </w:r>
    </w:p>
    <w:p>
      <w:pPr>
        <w:pStyle w:val="BodyText"/>
      </w:pPr>
      <w:r>
        <w:t xml:space="preserve">En una arquitectura como Nebula OriginBlok®, el balance de masa puede actuar como regla de validación de eventos: las cantidades de salida, cambio de inventario y pérdidas justificadas deben ser compatibles con las entradas dentro de tolerancias documentadas. Esta es una consecuencia conceptual del principio físico, no una afirmación sobre desempeño comercial ni sobre datos de una implementación específica.</w:t>
      </w:r>
    </w:p>
    <w:bookmarkEnd w:id="69"/>
    <w:bookmarkStart w:id="70" w:name="método-práctico-en-doce-pasos"/>
    <w:p>
      <w:pPr>
        <w:pStyle w:val="Heading1"/>
      </w:pPr>
      <w:r>
        <w:t xml:space="preserve">Método práctico en doce pasos</w:t>
      </w:r>
    </w:p>
    <w:p>
      <w:pPr>
        <w:pStyle w:val="Compact"/>
        <w:numPr>
          <w:ilvl w:val="0"/>
          <w:numId w:val="1005"/>
        </w:numPr>
      </w:pPr>
      <w:r>
        <w:rPr>
          <w:b/>
          <w:bCs/>
        </w:rPr>
        <w:t xml:space="preserve">Definir la pregunta.</w:t>
      </w:r>
      <w:r>
        <w:t xml:space="preserve"> </w:t>
      </w:r>
      <w:r>
        <w:t xml:space="preserve">¿Se busca dimensionar, verificar, reconciliar, diagnosticar o trazar?</w:t>
      </w:r>
    </w:p>
    <w:p>
      <w:pPr>
        <w:pStyle w:val="Compact"/>
        <w:numPr>
          <w:ilvl w:val="0"/>
          <w:numId w:val="1005"/>
        </w:numPr>
      </w:pPr>
      <w:r>
        <w:rPr>
          <w:b/>
          <w:bCs/>
        </w:rPr>
        <w:t xml:space="preserve">Dibujar la frontera.</w:t>
      </w:r>
      <w:r>
        <w:t xml:space="preserve"> </w:t>
      </w:r>
      <w:r>
        <w:t xml:space="preserve">Marcar entradas, salidas, inventarios y posibles corrientes omitidas.</w:t>
      </w:r>
    </w:p>
    <w:p>
      <w:pPr>
        <w:pStyle w:val="Compact"/>
        <w:numPr>
          <w:ilvl w:val="0"/>
          <w:numId w:val="1005"/>
        </w:numPr>
      </w:pPr>
      <w:r>
        <w:rPr>
          <w:b/>
          <w:bCs/>
        </w:rPr>
        <w:t xml:space="preserve">Fijar tiempo y base.</w:t>
      </w:r>
      <w:r>
        <w:t xml:space="preserve"> </w:t>
      </w:r>
      <w:r>
        <w:t xml:space="preserve">Declarar lote, hora, día y base húmeda/seca.</w:t>
      </w:r>
    </w:p>
    <w:p>
      <w:pPr>
        <w:pStyle w:val="Compact"/>
        <w:numPr>
          <w:ilvl w:val="0"/>
          <w:numId w:val="1005"/>
        </w:numPr>
      </w:pPr>
      <w:r>
        <w:rPr>
          <w:b/>
          <w:bCs/>
        </w:rPr>
        <w:t xml:space="preserve">Enumerar componentes.</w:t>
      </w:r>
      <w:r>
        <w:t xml:space="preserve"> </w:t>
      </w:r>
      <w:r>
        <w:t xml:space="preserve">Definir qué representa cada fracción y comprobar que sumen uno.</w:t>
      </w:r>
    </w:p>
    <w:p>
      <w:pPr>
        <w:pStyle w:val="Compact"/>
        <w:numPr>
          <w:ilvl w:val="0"/>
          <w:numId w:val="1005"/>
        </w:numPr>
      </w:pPr>
      <w:r>
        <w:rPr>
          <w:b/>
          <w:bCs/>
        </w:rPr>
        <w:t xml:space="preserve">Clasificar el régimen.</w:t>
      </w:r>
      <w:r>
        <w:t xml:space="preserve"> </w:t>
      </w:r>
      <w:r>
        <w:t xml:space="preserve">Estacionario, transitorio o cuasiestacionario.</w:t>
      </w:r>
    </w:p>
    <w:p>
      <w:pPr>
        <w:pStyle w:val="Compact"/>
        <w:numPr>
          <w:ilvl w:val="0"/>
          <w:numId w:val="1005"/>
        </w:numPr>
      </w:pPr>
      <w:r>
        <w:rPr>
          <w:b/>
          <w:bCs/>
        </w:rPr>
        <w:t xml:space="preserve">Escribir primero la forma general.</w:t>
      </w:r>
      <w:r>
        <w:t xml:space="preserve"> </w:t>
      </w:r>
      <w:r>
        <w:t xml:space="preserve">Simplificar solo después de justificar cada término eliminado.</w:t>
      </w:r>
    </w:p>
    <w:p>
      <w:pPr>
        <w:pStyle w:val="Compact"/>
        <w:numPr>
          <w:ilvl w:val="0"/>
          <w:numId w:val="1005"/>
        </w:numPr>
      </w:pPr>
      <w:r>
        <w:rPr>
          <w:b/>
          <w:bCs/>
        </w:rPr>
        <w:t xml:space="preserve">Contar grados de libertad.</w:t>
      </w:r>
      <w:r>
        <w:t xml:space="preserve"> </w:t>
      </w:r>
      <w:r>
        <w:t xml:space="preserve">Separar mediciones, especificaciones e incógnitas.</w:t>
      </w:r>
    </w:p>
    <w:p>
      <w:pPr>
        <w:pStyle w:val="Compact"/>
        <w:numPr>
          <w:ilvl w:val="0"/>
          <w:numId w:val="1005"/>
        </w:numPr>
      </w:pPr>
      <w:r>
        <w:rPr>
          <w:b/>
          <w:bCs/>
        </w:rPr>
        <w:t xml:space="preserve">Resolver con unidades visibles.</w:t>
      </w:r>
      <w:r>
        <w:t xml:space="preserve"> </w:t>
      </w:r>
      <w:r>
        <w:t xml:space="preserve">Evitar números sin dimensión durante la sustitución.</w:t>
      </w:r>
    </w:p>
    <w:p>
      <w:pPr>
        <w:pStyle w:val="Compact"/>
        <w:numPr>
          <w:ilvl w:val="0"/>
          <w:numId w:val="1005"/>
        </w:numPr>
      </w:pPr>
      <w:r>
        <w:rPr>
          <w:b/>
          <w:bCs/>
        </w:rPr>
        <w:t xml:space="preserve">Verificar balances independientes.</w:t>
      </w:r>
      <w:r>
        <w:t xml:space="preserve"> </w:t>
      </w:r>
      <w:r>
        <w:t xml:space="preserve">Total, componentes y, cuando corresponda, elementos.</w:t>
      </w:r>
    </w:p>
    <w:p>
      <w:pPr>
        <w:pStyle w:val="Compact"/>
        <w:numPr>
          <w:ilvl w:val="0"/>
          <w:numId w:val="1005"/>
        </w:numPr>
      </w:pPr>
      <w:r>
        <w:rPr>
          <w:b/>
          <w:bCs/>
        </w:rPr>
        <w:t xml:space="preserve">Calcular residual e incertidumbre.</w:t>
      </w:r>
      <w:r>
        <w:t xml:space="preserve"> </w:t>
      </w:r>
      <w:r>
        <w:t xml:space="preserve">No interpretar cierre sin calidad metrológica.</w:t>
      </w:r>
    </w:p>
    <w:p>
      <w:pPr>
        <w:pStyle w:val="Compact"/>
        <w:numPr>
          <w:ilvl w:val="0"/>
          <w:numId w:val="1005"/>
        </w:numPr>
      </w:pPr>
      <w:r>
        <w:rPr>
          <w:b/>
          <w:bCs/>
        </w:rPr>
        <w:t xml:space="preserve">Examinar sensibilidad y casos límite.</w:t>
      </w:r>
      <w:r>
        <w:t xml:space="preserve"> </w:t>
      </w:r>
      <w:r>
        <w:t xml:space="preserve">Identificar variables dominantes y singularidades.</w:t>
      </w:r>
    </w:p>
    <w:p>
      <w:pPr>
        <w:pStyle w:val="Compact"/>
        <w:numPr>
          <w:ilvl w:val="0"/>
          <w:numId w:val="1005"/>
        </w:numPr>
      </w:pPr>
      <w:r>
        <w:rPr>
          <w:b/>
          <w:bCs/>
        </w:rPr>
        <w:t xml:space="preserve">Documentar procedencia.</w:t>
      </w:r>
      <w:r>
        <w:t xml:space="preserve"> </w:t>
      </w:r>
      <w:r>
        <w:t xml:space="preserve">Conservar datos, código, parámetros, versiones y decisiones.</w:t>
      </w:r>
    </w:p>
    <w:p>
      <w:pPr>
        <w:pStyle w:val="FirstParagraph"/>
      </w:pPr>
      <w:r>
        <w:t xml:space="preserve">Este orden evita un error habitual: empezar con álgebra antes de definir el proceso. Una ecuación resuelta con precisión puede representar una frontera equivocada.</w:t>
      </w:r>
    </w:p>
    <w:bookmarkEnd w:id="70"/>
    <w:bookmarkStart w:id="71" w:name="Xa29e6b0302f135c14ff982262d6f524336aa4fb"/>
    <w:p>
      <w:pPr>
        <w:pStyle w:val="Heading1"/>
      </w:pPr>
      <w:r>
        <w:t xml:space="preserve">Supuestos, límites y afirmaciones permitidas</w:t>
      </w:r>
    </w:p>
    <w:p>
      <w:pPr>
        <w:pStyle w:val="FirstParagraph"/>
      </w:pPr>
      <w:r>
        <w:t xml:space="preserve">Los tres casos son pedagógicos y determinísticos. No validan una tecnología ni describen una planta. El separador ilustra balances estacionarios; el tanque ilustra dinámica ideal; la reconciliación ilustra un estimador lineal con incertidumbres independientes.</w:t>
      </w:r>
    </w:p>
    <w:p>
      <w:pPr>
        <w:pStyle w:val="BodyText"/>
      </w:pPr>
      <w:r>
        <w:t xml:space="preserve">Las conclusiones dejan de ser válidas cuando:</w:t>
      </w:r>
    </w:p>
    <w:p>
      <w:pPr>
        <w:pStyle w:val="Compact"/>
        <w:numPr>
          <w:ilvl w:val="0"/>
          <w:numId w:val="1006"/>
        </w:numPr>
      </w:pPr>
      <w:r>
        <w:t xml:space="preserve">la reacción afecta componentes y se omiten términos estequiométricos;</w:t>
      </w:r>
    </w:p>
    <w:p>
      <w:pPr>
        <w:pStyle w:val="Compact"/>
        <w:numPr>
          <w:ilvl w:val="0"/>
          <w:numId w:val="1006"/>
        </w:numPr>
      </w:pPr>
      <w:r>
        <w:t xml:space="preserve">la frontera cambia durante el intervalo;</w:t>
      </w:r>
    </w:p>
    <w:p>
      <w:pPr>
        <w:pStyle w:val="Compact"/>
        <w:numPr>
          <w:ilvl w:val="0"/>
          <w:numId w:val="1006"/>
        </w:numPr>
      </w:pPr>
      <w:r>
        <w:t xml:space="preserve">los inventarios no se miden o estiman;</w:t>
      </w:r>
    </w:p>
    <w:p>
      <w:pPr>
        <w:pStyle w:val="Compact"/>
        <w:numPr>
          <w:ilvl w:val="0"/>
          <w:numId w:val="1006"/>
        </w:numPr>
      </w:pPr>
      <w:r>
        <w:t xml:space="preserve">las composiciones no comparten base;</w:t>
      </w:r>
    </w:p>
    <w:p>
      <w:pPr>
        <w:pStyle w:val="Compact"/>
        <w:numPr>
          <w:ilvl w:val="0"/>
          <w:numId w:val="1006"/>
        </w:numPr>
      </w:pPr>
      <w:r>
        <w:t xml:space="preserve">existe flujo multifásico no representado por el instrumento;</w:t>
      </w:r>
    </w:p>
    <w:p>
      <w:pPr>
        <w:pStyle w:val="Compact"/>
        <w:numPr>
          <w:ilvl w:val="0"/>
          <w:numId w:val="1006"/>
        </w:numPr>
      </w:pPr>
      <w:r>
        <w:t xml:space="preserve">el muestreo no es representativo;</w:t>
      </w:r>
    </w:p>
    <w:p>
      <w:pPr>
        <w:pStyle w:val="Compact"/>
        <w:numPr>
          <w:ilvl w:val="0"/>
          <w:numId w:val="1006"/>
        </w:numPr>
      </w:pPr>
      <w:r>
        <w:t xml:space="preserve">las incertidumbres están mal caracterizadas;</w:t>
      </w:r>
    </w:p>
    <w:p>
      <w:pPr>
        <w:pStyle w:val="Compact"/>
        <w:numPr>
          <w:ilvl w:val="0"/>
          <w:numId w:val="1006"/>
        </w:numPr>
      </w:pPr>
      <w:r>
        <w:t xml:space="preserve">se confunde correlación temporal con mediciones independientes;</w:t>
      </w:r>
    </w:p>
    <w:p>
      <w:pPr>
        <w:pStyle w:val="Compact"/>
        <w:numPr>
          <w:ilvl w:val="0"/>
          <w:numId w:val="1006"/>
        </w:numPr>
      </w:pPr>
      <w:r>
        <w:t xml:space="preserve">se reconcilian datos contra restricciones físicas incorrectas.</w:t>
      </w:r>
    </w:p>
    <w:p>
      <w:pPr>
        <w:pStyle w:val="FirstParagraph"/>
      </w:pPr>
      <w:r>
        <w:t xml:space="preserve">Un balance de masa tampoco demuestra causalidad. Puede revelar una inconsistencia, pero localizar su causa exige evidencia adicional: calibración, inspección, muestreo, tendencias de nivel, secuencia operacional y conocimiento del proceso.</w:t>
      </w:r>
    </w:p>
    <w:bookmarkEnd w:id="71"/>
    <w:bookmarkStart w:id="72" w:name="conclusiones"/>
    <w:p>
      <w:pPr>
        <w:pStyle w:val="Heading1"/>
      </w:pPr>
      <w:r>
        <w:t xml:space="preserve">Conclusiones</w:t>
      </w:r>
    </w:p>
    <w:p>
      <w:pPr>
        <w:pStyle w:val="FirstParagraph"/>
      </w:pPr>
      <w:r>
        <w:t xml:space="preserve">El balance de masa es una ley física convertida en método de decisión. Su forma más simple —entrada menos salida igual a acumulación— solo es útil cuando frontera, tiempo, base, unidades y componentes están definidos.</w:t>
      </w:r>
    </w:p>
    <w:p>
      <w:pPr>
        <w:pStyle w:val="BodyText"/>
      </w:pPr>
      <w:r>
        <w:t xml:space="preserve">El caso de separación mostró cómo dos balances independientes determinan dos caudales y cómo la solución se vuelve sensible cuando las composiciones de producto se aproximan. El tanque mostró que un proceso puede estar estacionario en masa total y ser transitorio por componente. El caso de medición mostró que un residual distinto de cero debe compararse con su incertidumbre y que la reconciliación ponderada genera estimados físicamente consistentes sin convertir mediciones en verdades exactas.</w:t>
      </w:r>
    </w:p>
    <w:p>
      <w:pPr>
        <w:pStyle w:val="BodyText"/>
      </w:pPr>
      <w:r>
        <w:t xml:space="preserve">La lección central es doble. Primero, el cierre numérico no sustituye el razonamiento físico: un balance puede cerrar con una frontera incorrecta. Segundo, la trazabilidad digital no sustituye conservación: una secuencia de eventos debe ser cuantitativamente posible. Cuando identidad, cantidad, tiempo, composición, incertidumbre y procedencia se integran, el balance de masa deja de ser un ejercicio escolar y se convierte en la gramática verificable del proceso industrial.</w:t>
      </w:r>
    </w:p>
    <w:bookmarkEnd w:id="72"/>
    <w:bookmarkStart w:id="73" w:name="declaración-de-reproducibilidad"/>
    <w:p>
      <w:pPr>
        <w:pStyle w:val="Heading1"/>
      </w:pPr>
      <w:r>
        <w:t xml:space="preserve">Declaración de reproducibilidad</w:t>
      </w:r>
    </w:p>
    <w:p>
      <w:pPr>
        <w:pStyle w:val="FirstParagraph"/>
      </w:pPr>
      <w:r>
        <w:t xml:space="preserve">Los datasets, resultados y cinco figuras de esta edición se generan mediante</w:t>
      </w:r>
      <w:r>
        <w:t xml:space="preserve"> </w:t>
      </w:r>
      <w:r>
        <w:rPr>
          <w:rStyle w:val="VerbatimChar"/>
        </w:rPr>
        <w:t xml:space="preserve">scripts/generate_evidence.py</w:t>
      </w:r>
      <w:r>
        <w:t xml:space="preserve">. Las dependencias están fijadas en</w:t>
      </w:r>
      <w:r>
        <w:t xml:space="preserve"> </w:t>
      </w:r>
      <w:r>
        <w:rPr>
          <w:rStyle w:val="VerbatimChar"/>
        </w:rPr>
        <w:t xml:space="preserve">environment/requirements.txt</w:t>
      </w:r>
      <w:r>
        <w:t xml:space="preserve">; las variables y unidades se documentan en</w:t>
      </w:r>
      <w:r>
        <w:t xml:space="preserve"> </w:t>
      </w:r>
      <w:r>
        <w:rPr>
          <w:rStyle w:val="VerbatimChar"/>
        </w:rPr>
        <w:t xml:space="preserve">data/README.md</w:t>
      </w:r>
      <w:r>
        <w:t xml:space="preserve">. El pipeline no utiliza aleatoriedad. Los mismos resultados y figuras sustentan las ediciones ES y EN.</w:t>
      </w:r>
    </w:p>
    <w:bookmarkEnd w:id="73"/>
    <w:bookmarkStart w:id="85" w:name="referencias"/>
    <w:p>
      <w:pPr>
        <w:pStyle w:val="Heading1"/>
      </w:pPr>
      <w:r>
        <w:t xml:space="preserve">Referencias</w:t>
      </w:r>
    </w:p>
    <w:bookmarkStart w:id="84" w:name="refs"/>
    <w:bookmarkStart w:id="75" w:name="ref-felder2020"/>
    <w:p>
      <w:pPr>
        <w:pStyle w:val="Bibliography"/>
      </w:pPr>
      <w:r>
        <w:t xml:space="preserve">Felder, Richard M., Ronald W. Rousseau, y Lisa G. Bullard. 2020.</w:t>
      </w:r>
      <w:r>
        <w:t xml:space="preserve"> </w:t>
      </w:r>
      <w:r>
        <w:rPr>
          <w:i/>
          <w:iCs/>
        </w:rPr>
        <w:t xml:space="preserve">Elementary Principles of Chemical Processes</w:t>
      </w:r>
      <w:r>
        <w:t xml:space="preserve">. 4.ª ed. John Wiley &amp; Sons.</w:t>
      </w:r>
      <w:r>
        <w:t xml:space="preserve"> </w:t>
      </w:r>
      <w:hyperlink r:id="rId74">
        <w:r>
          <w:rPr>
            <w:rStyle w:val="Hyperlink"/>
          </w:rPr>
          <w:t xml:space="preserve">https://www.wileyplus.com/engineering-and-materials-science/felder-elementary-principles-of-chemical-processes-4e-eprof18116/</w:t>
        </w:r>
      </w:hyperlink>
      <w:r>
        <w:t xml:space="preserve">.</w:t>
      </w:r>
    </w:p>
    <w:bookmarkEnd w:id="75"/>
    <w:bookmarkStart w:id="77" w:name="ref-jcgm100"/>
    <w:p>
      <w:pPr>
        <w:pStyle w:val="Bibliography"/>
      </w:pPr>
      <w:r>
        <w:t xml:space="preserve">Joint Committee for Guides in Metrology. 2008.</w:t>
      </w:r>
      <w:r>
        <w:t xml:space="preserve"> </w:t>
      </w:r>
      <w:r>
        <w:rPr>
          <w:i/>
          <w:iCs/>
        </w:rPr>
        <w:t xml:space="preserve">Evaluation of Measurement Data — Guide to the Expression of Uncertainty in Measurement</w:t>
      </w:r>
      <w:r>
        <w:t xml:space="preserve">. JCGM 100:2008. BIPM.</w:t>
      </w:r>
      <w:r>
        <w:t xml:space="preserve"> </w:t>
      </w:r>
      <w:hyperlink r:id="rId76">
        <w:r>
          <w:rPr>
            <w:rStyle w:val="Hyperlink"/>
          </w:rPr>
          <w:t xml:space="preserve">https://doi.org/10.59161/JCGM100-2008E</w:t>
        </w:r>
      </w:hyperlink>
      <w:r>
        <w:t xml:space="preserve">.</w:t>
      </w:r>
    </w:p>
    <w:bookmarkEnd w:id="77"/>
    <w:bookmarkStart w:id="79" w:name="ref-mit_control_volume"/>
    <w:p>
      <w:pPr>
        <w:pStyle w:val="Bibliography"/>
      </w:pPr>
      <w:r>
        <w:t xml:space="preserve">Massachusetts Institute of Technology. s. f.</w:t>
      </w:r>
      <w:r>
        <w:t xml:space="preserve"> </w:t>
      </w:r>
      <w:r>
        <w:t xml:space="preserve">«Control Volume Theorems and Applications»</w:t>
      </w:r>
      <w:r>
        <w:t xml:space="preserve">. MIT OpenCourseWare. Accedido 3 de septiembre de 2026.</w:t>
      </w:r>
      <w:r>
        <w:t xml:space="preserve"> </w:t>
      </w:r>
      <w:hyperlink r:id="rId78">
        <w:r>
          <w:rPr>
            <w:rStyle w:val="Hyperlink"/>
          </w:rPr>
          <w:t xml:space="preserve">https://ocw.mit.edu/courses/2-25-advanced-fluid-mechanics-fall-2013/pages/control-volume-theorems-and-applications/</w:t>
        </w:r>
      </w:hyperlink>
      <w:r>
        <w:t xml:space="preserve">.</w:t>
      </w:r>
    </w:p>
    <w:bookmarkEnd w:id="79"/>
    <w:bookmarkStart w:id="81" w:name="ref-reklaitis1983"/>
    <w:p>
      <w:pPr>
        <w:pStyle w:val="Bibliography"/>
      </w:pPr>
      <w:r>
        <w:t xml:space="preserve">Reklaitis, Gintaras V. 1983.</w:t>
      </w:r>
      <w:r>
        <w:t xml:space="preserve"> </w:t>
      </w:r>
      <w:r>
        <w:rPr>
          <w:i/>
          <w:iCs/>
        </w:rPr>
        <w:t xml:space="preserve">Introduction to Material and Energy Balances</w:t>
      </w:r>
      <w:r>
        <w:t xml:space="preserve">. John Wiley &amp; Sons.</w:t>
      </w:r>
      <w:r>
        <w:t xml:space="preserve"> </w:t>
      </w:r>
      <w:hyperlink r:id="rId80">
        <w:r>
          <w:rPr>
            <w:rStyle w:val="Hyperlink"/>
          </w:rPr>
          <w:t xml:space="preserve">https://www.wiley-vch.de/en/areas-interest/engineering/introduction-to-material-and-energy-balances-978-0-471-04131-3</w:t>
        </w:r>
      </w:hyperlink>
      <w:r>
        <w:t xml:space="preserve">.</w:t>
      </w:r>
    </w:p>
    <w:bookmarkEnd w:id="81"/>
    <w:bookmarkStart w:id="83" w:name="ref-tamhane1985"/>
    <w:p>
      <w:pPr>
        <w:pStyle w:val="Bibliography"/>
      </w:pPr>
      <w:r>
        <w:t xml:space="preserve">Tamhane, Ajit C., y Richard S. H. Mah. 1985.</w:t>
      </w:r>
      <w:r>
        <w:t xml:space="preserve"> </w:t>
      </w:r>
      <w:r>
        <w:t xml:space="preserve">«Data Reconciliation and Gross Error Detection in Chemical Process Networks»</w:t>
      </w:r>
      <w:r>
        <w:t xml:space="preserve">.</w:t>
      </w:r>
      <w:r>
        <w:t xml:space="preserve"> </w:t>
      </w:r>
      <w:r>
        <w:rPr>
          <w:i/>
          <w:iCs/>
        </w:rPr>
        <w:t xml:space="preserve">Technometrics</w:t>
      </w:r>
      <w:r>
        <w:t xml:space="preserve"> </w:t>
      </w:r>
      <w:r>
        <w:t xml:space="preserve">27 (4): 409-22.</w:t>
      </w:r>
      <w:r>
        <w:t xml:space="preserve"> </w:t>
      </w:r>
      <w:hyperlink r:id="rId82">
        <w:r>
          <w:rPr>
            <w:rStyle w:val="Hyperlink"/>
          </w:rPr>
          <w:t xml:space="preserve">https://doi.org/10.1080/00401706.1985.10488080</w:t>
        </w:r>
      </w:hyperlink>
      <w:r>
        <w:t xml:space="preserve">.</w:t>
      </w:r>
    </w:p>
    <w:bookmarkEnd w:id="83"/>
    <w:bookmarkEnd w:id="84"/>
    <w:bookmarkEnd w:id="8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s-419"/>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5" Target="media/rId15.png" /><Relationship Type="http://schemas.openxmlformats.org/officeDocument/2006/relationships/image" Id="rId33" Target="media/rId33.png" /><Relationship Type="http://schemas.openxmlformats.org/officeDocument/2006/relationships/image" Id="rId44" Target="media/rId44.png" /><Relationship Type="http://schemas.openxmlformats.org/officeDocument/2006/relationships/image" Id="rId51" Target="media/rId51.png" /><Relationship Type="http://schemas.openxmlformats.org/officeDocument/2006/relationships/image" Id="rId63" Target="media/rId63.png" /><Relationship Type="http://schemas.openxmlformats.org/officeDocument/2006/relationships/hyperlink" Id="rId11" Target="../../../downloads/NS-SBTP-PSF-001_v2.0_ES.docx" TargetMode="External" /><Relationship Type="http://schemas.openxmlformats.org/officeDocument/2006/relationships/hyperlink" Id="rId12" Target="../../../downloads/NS-SBTP-PSF-001_v2.0_ES.epub" TargetMode="External" /><Relationship Type="http://schemas.openxmlformats.org/officeDocument/2006/relationships/hyperlink" Id="rId10" Target="../../../downloads/NS-SBTP-PSF-001_v2.0_ES.pdf" TargetMode="External" /><Relationship Type="http://schemas.openxmlformats.org/officeDocument/2006/relationships/hyperlink" Id="rId9" Target="../../../en/articles/NS-SBTP-PSF-001/" TargetMode="External" /><Relationship Type="http://schemas.openxmlformats.org/officeDocument/2006/relationships/hyperlink" Id="rId82" Target="https://doi.org/10.1080/00401706.1985.10488080" TargetMode="External" /><Relationship Type="http://schemas.openxmlformats.org/officeDocument/2006/relationships/hyperlink" Id="rId76" Target="https://doi.org/10.59161/JCGM100-2008E" TargetMode="External" /><Relationship Type="http://schemas.openxmlformats.org/officeDocument/2006/relationships/hyperlink" Id="rId13" Target="https://github.com/Nhilson73/Nebula_Science_Quarto/tree/bfef03b5acafefcea5fe6174bf62f88f0493ee1f/05_articles/foundations/NS-SBTP-PSF-001/v2.0" TargetMode="External" /><Relationship Type="http://schemas.openxmlformats.org/officeDocument/2006/relationships/hyperlink" Id="rId78" Target="https://ocw.mit.edu/courses/2-25-advanced-fluid-mechanics-fall-2013/pages/control-volume-theorems-and-applications/" TargetMode="External" /><Relationship Type="http://schemas.openxmlformats.org/officeDocument/2006/relationships/hyperlink" Id="rId80" Target="https://www.wiley-vch.de/en/areas-interest/engineering/introduction-to-material-and-energy-balances-978-0-471-04131-3" TargetMode="External" /><Relationship Type="http://schemas.openxmlformats.org/officeDocument/2006/relationships/hyperlink" Id="rId74" Target="https://www.wileyplus.com/engineering-and-materials-science/felder-elementary-principles-of-chemical-processes-4e-eprof18116/" TargetMode="External" /></Relationships>
</file>

<file path=word/_rels/footnotes.xml.rels><?xml version="1.0" encoding="UTF-8"?><Relationships xmlns="http://schemas.openxmlformats.org/package/2006/relationships"><Relationship Type="http://schemas.openxmlformats.org/officeDocument/2006/relationships/hyperlink" Id="rId11" Target="../../../downloads/NS-SBTP-PSF-001_v2.0_ES.docx" TargetMode="External" /><Relationship Type="http://schemas.openxmlformats.org/officeDocument/2006/relationships/hyperlink" Id="rId12" Target="../../../downloads/NS-SBTP-PSF-001_v2.0_ES.epub" TargetMode="External" /><Relationship Type="http://schemas.openxmlformats.org/officeDocument/2006/relationships/hyperlink" Id="rId10" Target="../../../downloads/NS-SBTP-PSF-001_v2.0_ES.pdf" TargetMode="External" /><Relationship Type="http://schemas.openxmlformats.org/officeDocument/2006/relationships/hyperlink" Id="rId9" Target="../../../en/articles/NS-SBTP-PSF-001/" TargetMode="External" /><Relationship Type="http://schemas.openxmlformats.org/officeDocument/2006/relationships/hyperlink" Id="rId82" Target="https://doi.org/10.1080/00401706.1985.10488080" TargetMode="External" /><Relationship Type="http://schemas.openxmlformats.org/officeDocument/2006/relationships/hyperlink" Id="rId76" Target="https://doi.org/10.59161/JCGM100-2008E" TargetMode="External" /><Relationship Type="http://schemas.openxmlformats.org/officeDocument/2006/relationships/hyperlink" Id="rId13" Target="https://github.com/Nhilson73/Nebula_Science_Quarto/tree/bfef03b5acafefcea5fe6174bf62f88f0493ee1f/05_articles/foundations/NS-SBTP-PSF-001/v2.0" TargetMode="External" /><Relationship Type="http://schemas.openxmlformats.org/officeDocument/2006/relationships/hyperlink" Id="rId78" Target="https://ocw.mit.edu/courses/2-25-advanced-fluid-mechanics-fall-2013/pages/control-volume-theorems-and-applications/" TargetMode="External" /><Relationship Type="http://schemas.openxmlformats.org/officeDocument/2006/relationships/hyperlink" Id="rId80" Target="https://www.wiley-vch.de/en/areas-interest/engineering/introduction-to-material-and-energy-balances-978-0-471-04131-3" TargetMode="External" /><Relationship Type="http://schemas.openxmlformats.org/officeDocument/2006/relationships/hyperlink" Id="rId74" Target="https://www.wileyplus.com/engineering-and-materials-science/felder-elementary-principles-of-chemical-processes-4e-eprof181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Balance de masa: el lenguaje de los procesos industriales</dc:title>
  <dc:creator>Nebula Foundation®</dc:creator>
  <dc:language>es-419</dc:language>
  <cp:keywords>balance de masa, conservación de masa, volumen de control, estado transitorio, incertidumbre de medición, reconciliación de datos, trazabilidad digital</cp:keywords>
  <dcterms:created xsi:type="dcterms:W3CDTF">2026-09-05T04:13:30Z</dcterms:created>
  <dcterms:modified xsi:type="dcterms:W3CDTF">2026-09-05T04:13:30Z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El balance de masa transforma un proceso físico en una estructura contable verificable. Esta revisión mayor desarrolla el principio desde la selección de frontera hasta el diagnóstico de mediciones: distingue masa total y componentes, deriva las formas estacionaria y transitoria, explica acumulación, base de cálculo y grados de libertad, y demuestra por qué un cierre distinto de cero no equivale automáticamente a una pérdida real. Tres casos pedagógicos reproducibles conectan la teoría con la práctica: un separador de dos productos, un tanque perfectamente mezclado con acumulación de componente y una reconciliación ponderada de caudales con incertidumbres diferentes. Las figuras, datasets y resultados se generan mediante código versionado y no representan datos de planta. El artículo concluye mostrando cómo el balance físico se convierte en la columna vertebral de la trazabilidad digital: cada transformación verificable exige identidad de corrientes, unidades, tiempo, composición, procedencia y reglas explícitas de conservación.</vt:lpwstr>
  </property>
  <property fmtid="{D5CDD505-2E9C-101B-9397-08002B2CF9AE}" pid="3" name="abstract-title">
    <vt:lpwstr>Resumen</vt:lpwstr>
  </property>
  <property fmtid="{D5CDD505-2E9C-101B-9397-08002B2CF9AE}" pid="4" name="article-id">
    <vt:lpwstr>NS-SBTP-PSF-001</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../../../references/NS-SBTP-PSF-001-v2.0.bib</vt:lpwstr>
  </property>
  <property fmtid="{D5CDD505-2E9C-101B-9397-08002B2CF9AE}" pid="8" name="by-author">
    <vt:lpwstr/>
  </property>
  <property fmtid="{D5CDD505-2E9C-101B-9397-08002B2CF9AE}" pid="9" name="date">
    <vt:lpwstr>2026-09-03</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is_demo">
    <vt:lpwstr>False</vt:lpwstr>
  </property>
  <property fmtid="{D5CDD505-2E9C-101B-9397-08002B2CF9AE}" pid="15" name="keywords-title">
    <vt:lpwstr>Palabras clave</vt:lpwstr>
  </property>
  <property fmtid="{D5CDD505-2E9C-101B-9397-08002B2CF9AE}" pid="16" name="labels">
    <vt:lpwstr/>
  </property>
  <property fmtid="{D5CDD505-2E9C-101B-9397-08002B2CF9AE}" pid="17" name="language-code">
    <vt:lpwstr>ES</vt:lpwstr>
  </property>
  <property fmtid="{D5CDD505-2E9C-101B-9397-08002B2CF9AE}" pid="18" name="license-text">
    <vt:lpwstr>CC BY 4.0 — versión 2.0; la versión histórica v1.0 se preserva por separado</vt:lpwstr>
  </property>
  <property fmtid="{D5CDD505-2E9C-101B-9397-08002B2CF9AE}" pid="19" name="publication">
    <vt:lpwstr>Nebula Science®</vt:lpwstr>
  </property>
  <property fmtid="{D5CDD505-2E9C-101B-9397-08002B2CF9AE}" pid="20" name="series">
    <vt:lpwstr>Science Behind the Process</vt:lpwstr>
  </property>
  <property fmtid="{D5CDD505-2E9C-101B-9397-08002B2CF9AE}" pid="21" name="status">
    <vt:lpwstr>published</vt:lpwstr>
  </property>
  <property fmtid="{D5CDD505-2E9C-101B-9397-08002B2CF9AE}" pid="22" name="subtitle">
    <vt:lpwstr>De la conservación física al cierre, la incertidumbre y la trazabilidad</vt:lpwstr>
  </property>
  <property fmtid="{D5CDD505-2E9C-101B-9397-08002B2CF9AE}" pid="23" name="toc-title">
    <vt:lpwstr>Tabla de contenidos</vt:lpwstr>
  </property>
  <property fmtid="{D5CDD505-2E9C-101B-9397-08002B2CF9AE}" pid="24" name="version">
    <vt:lpwstr>2.0</vt:lpwstr>
  </property>
</Properties>
</file>